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3960A5A2">
      <w:pPr>
        <w:spacing w:line="900" w:lineRule="exact"/>
        <w:jc w:val="center"/>
        <w:rPr>
          <w:rFonts w:ascii="Times New Roman" w:hAnsi="Times New Roman" w:cs="Times New Roman" w:eastAsiaTheme="minorEastAsia"/>
          <w:b/>
          <w:sz w:val="30"/>
          <w:szCs w:val="30"/>
          <w:highlight w:val="none"/>
        </w:rPr>
      </w:pPr>
      <w:r>
        <w:rPr>
          <w:rFonts w:hint="eastAsia" w:ascii="Times New Roman" w:hAnsi="Times New Roman" w:eastAsia="方正黑体_GBK" w:cs="Times New Roman"/>
          <w:b/>
          <w:sz w:val="44"/>
          <w:szCs w:val="44"/>
          <w:highlight w:val="none"/>
          <w:lang w:eastAsia="zh-CN"/>
        </w:rPr>
        <w:t>播音与主持艺术专业实训室采购项目</w:t>
      </w:r>
    </w:p>
    <w:p w14:paraId="4BBF0ACC">
      <w:pPr>
        <w:spacing w:line="900" w:lineRule="exact"/>
        <w:jc w:val="center"/>
        <w:rPr>
          <w:rFonts w:hint="eastAsia" w:ascii="Times New Roman" w:hAnsi="Times New Roman" w:cs="Times New Roman" w:eastAsiaTheme="minorEastAsia"/>
          <w:b/>
          <w:sz w:val="30"/>
          <w:szCs w:val="30"/>
          <w:highlight w:val="none"/>
          <w:lang w:eastAsia="zh-CN"/>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2936" w:firstLineChars="917"/>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3F3D144A">
      <w:pPr>
        <w:spacing w:after="120" w:afterLines="50" w:line="500" w:lineRule="exact"/>
        <w:ind w:firstLine="2936" w:firstLineChars="917"/>
        <w:rPr>
          <w:rFonts w:ascii="Times New Roman" w:hAnsi="Times New Roman" w:eastAsia="方正黑体_GBK" w:cs="Times New Roman"/>
          <w:b/>
          <w:color w:val="0000FF"/>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月</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p w14:paraId="724FA948">
          <w:pPr>
            <w:pStyle w:val="30"/>
            <w:tabs>
              <w:tab w:val="right" w:leader="dot" w:pos="8255"/>
            </w:tabs>
          </w:pPr>
        </w:p>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2D3FB105">
              <w:pPr>
                <w:pStyle w:val="194"/>
                <w:jc w:val="center"/>
                <w:rPr>
                  <w:rFonts w:hint="eastAsia" w:ascii="宋体" w:hAnsi="宋体" w:eastAsia="宋体" w:cs="宋体"/>
                  <w:b w:val="0"/>
                  <w:bCs w:val="0"/>
                  <w:color w:val="auto"/>
                  <w:kern w:val="2"/>
                  <w:sz w:val="36"/>
                  <w:szCs w:val="36"/>
                  <w:highlight w:val="none"/>
                  <w:lang w:val="zh-CN"/>
                </w:rPr>
              </w:pPr>
            </w:p>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94095FE">
              <w:pPr>
                <w:rPr>
                  <w:highlight w:val="none"/>
                  <w:lang w:val="zh-CN"/>
                </w:rPr>
              </w:pPr>
            </w:p>
            <w:p w14:paraId="3363B498">
              <w:pPr>
                <w:rPr>
                  <w:highlight w:val="none"/>
                </w:rPr>
              </w:pPr>
            </w:p>
            <w:p w14:paraId="7D8666F6">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0EF5A910">
              <w:pPr>
                <w:rPr>
                  <w:rFonts w:hint="eastAsia" w:ascii="方正黑体_GBK" w:hAnsi="方正黑体_GBK" w:eastAsia="方正黑体_GBK" w:cs="方正黑体_GBK"/>
                  <w:szCs w:val="24"/>
                  <w:highlight w:val="none"/>
                </w:rPr>
              </w:pPr>
            </w:p>
            <w:p w14:paraId="66519FB9">
              <w:pPr>
                <w:rPr>
                  <w:rFonts w:hint="eastAsia" w:ascii="方正黑体_GBK" w:hAnsi="方正黑体_GBK" w:eastAsia="方正黑体_GBK" w:cs="方正黑体_GBK"/>
                  <w:szCs w:val="24"/>
                  <w:highlight w:val="none"/>
                </w:rPr>
              </w:pPr>
            </w:p>
            <w:p w14:paraId="1DF554A3">
              <w:pPr>
                <w:rPr>
                  <w:rFonts w:hint="eastAsia" w:ascii="方正黑体_GBK" w:hAnsi="方正黑体_GBK" w:eastAsia="方正黑体_GBK" w:cs="方正黑体_GBK"/>
                  <w:szCs w:val="24"/>
                  <w:highlight w:val="none"/>
                </w:rPr>
              </w:pPr>
            </w:p>
            <w:p w14:paraId="300F39E2">
              <w:pPr>
                <w:rPr>
                  <w:rFonts w:hint="eastAsia" w:ascii="方正黑体_GBK" w:hAnsi="方正黑体_GBK" w:eastAsia="方正黑体_GBK" w:cs="方正黑体_GBK"/>
                  <w:szCs w:val="24"/>
                  <w:highlight w:val="none"/>
                </w:rPr>
              </w:pPr>
            </w:p>
            <w:p w14:paraId="283361B2">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w:t>
              </w:r>
              <w:r>
                <w:rPr>
                  <w:rStyle w:val="48"/>
                  <w:rFonts w:hint="eastAsia" w:ascii="方正黑体_GBK" w:hAnsi="方正黑体_GBK" w:eastAsia="方正黑体_GBK" w:cs="方正黑体_GBK"/>
                  <w:color w:val="auto"/>
                  <w:sz w:val="24"/>
                  <w:szCs w:val="24"/>
                  <w:highlight w:val="none"/>
                  <w:lang w:val="en-US" w:eastAsia="zh-CN"/>
                </w:rPr>
                <w:t>须</w:t>
              </w:r>
              <w:r>
                <w:rPr>
                  <w:rStyle w:val="48"/>
                  <w:rFonts w:hint="eastAsia" w:ascii="方正黑体_GBK" w:hAnsi="方正黑体_GBK" w:eastAsia="方正黑体_GBK" w:cs="方正黑体_GBK"/>
                  <w:color w:val="auto"/>
                  <w:sz w:val="24"/>
                  <w:szCs w:val="24"/>
                  <w:highlight w:val="none"/>
                </w:rPr>
                <w:t>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3441099E">
              <w:pPr>
                <w:rPr>
                  <w:rFonts w:hint="eastAsia" w:ascii="方正黑体_GBK" w:hAnsi="方正黑体_GBK" w:eastAsia="方正黑体_GBK" w:cs="方正黑体_GBK"/>
                  <w:szCs w:val="24"/>
                  <w:highlight w:val="none"/>
                </w:rPr>
              </w:pPr>
            </w:p>
            <w:p w14:paraId="6ED37BBA">
              <w:pPr>
                <w:rPr>
                  <w:rFonts w:hint="eastAsia" w:ascii="方正黑体_GBK" w:hAnsi="方正黑体_GBK" w:eastAsia="方正黑体_GBK" w:cs="方正黑体_GBK"/>
                  <w:szCs w:val="24"/>
                  <w:highlight w:val="none"/>
                </w:rPr>
              </w:pPr>
            </w:p>
            <w:p w14:paraId="6105D325">
              <w:pPr>
                <w:rPr>
                  <w:rFonts w:hint="eastAsia" w:ascii="方正黑体_GBK" w:hAnsi="方正黑体_GBK" w:eastAsia="方正黑体_GBK" w:cs="方正黑体_GBK"/>
                  <w:szCs w:val="24"/>
                  <w:highlight w:val="none"/>
                </w:rPr>
              </w:pPr>
            </w:p>
            <w:p w14:paraId="44CF0476">
              <w:pPr>
                <w:rPr>
                  <w:rFonts w:hint="eastAsia" w:ascii="方正黑体_GBK" w:hAnsi="方正黑体_GBK" w:eastAsia="方正黑体_GBK" w:cs="方正黑体_GBK"/>
                  <w:szCs w:val="24"/>
                  <w:highlight w:val="none"/>
                </w:rPr>
              </w:pPr>
            </w:p>
            <w:p w14:paraId="41272192">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6D13B6F5">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58B18A73">
              <w:pPr>
                <w:rPr>
                  <w:rFonts w:hint="eastAsia" w:ascii="方正黑体_GBK" w:hAnsi="方正黑体_GBK" w:eastAsia="方正黑体_GBK" w:cs="方正黑体_GBK"/>
                  <w:szCs w:val="24"/>
                  <w:highlight w:val="none"/>
                </w:rPr>
              </w:pPr>
            </w:p>
            <w:p w14:paraId="4B22992D">
              <w:pPr>
                <w:rPr>
                  <w:rFonts w:hint="eastAsia" w:ascii="方正黑体_GBK" w:hAnsi="方正黑体_GBK" w:eastAsia="方正黑体_GBK" w:cs="方正黑体_GBK"/>
                  <w:szCs w:val="24"/>
                  <w:highlight w:val="none"/>
                </w:rPr>
              </w:pPr>
            </w:p>
            <w:p w14:paraId="7318132B">
              <w:pPr>
                <w:rPr>
                  <w:rFonts w:hint="eastAsia" w:ascii="方正黑体_GBK" w:hAnsi="方正黑体_GBK" w:eastAsia="方正黑体_GBK" w:cs="方正黑体_GBK"/>
                  <w:szCs w:val="24"/>
                  <w:highlight w:val="none"/>
                </w:rPr>
              </w:pPr>
            </w:p>
            <w:p w14:paraId="7E544C0A">
              <w:pPr>
                <w:pStyle w:val="30"/>
                <w:tabs>
                  <w:tab w:val="right" w:leader="dot" w:pos="8255"/>
                </w:tabs>
                <w:rPr>
                  <w:rFonts w:hint="eastAsia" w:ascii="方正黑体_GBK" w:hAnsi="方正黑体_GBK" w:eastAsia="方正黑体_GBK" w:cs="方正黑体_GBK"/>
                  <w:szCs w:val="24"/>
                  <w:highlight w:val="none"/>
                </w:rPr>
              </w:pPr>
            </w:p>
            <w:p w14:paraId="63286E9C">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182F5F2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2762A9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ABA3761">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3235589A">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03862F81">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Fonts w:hint="eastAsia" w:ascii="方正黑体_GBK" w:hAnsi="方正黑体_GBK" w:eastAsia="方正黑体_GBK" w:cs="方正黑体_GBK"/>
                  <w:sz w:val="24"/>
                  <w:szCs w:val="24"/>
                  <w:highlight w:val="none"/>
                  <w:lang w:val="en-US" w:eastAsia="zh-CN"/>
                </w:rPr>
                <w:t>30</w:t>
              </w:r>
            </w:p>
            <w:p w14:paraId="0C913975">
              <w:pPr>
                <w:pStyle w:val="30"/>
                <w:tabs>
                  <w:tab w:val="right" w:leader="dot" w:pos="8255"/>
                </w:tabs>
              </w:pPr>
              <w:r>
                <w:rPr>
                  <w:rFonts w:hint="eastAsia" w:ascii="方正黑体_GBK" w:hAnsi="方正黑体_GBK" w:eastAsia="方正黑体_GBK" w:cs="方正黑体_GBK"/>
                  <w:szCs w:val="24"/>
                  <w:highlight w:val="none"/>
                  <w:lang w:val="zh-CN"/>
                </w:rPr>
                <w:fldChar w:fldCharType="end"/>
              </w:r>
            </w:p>
          </w:sdtContent>
        </w:sdt>
        <w:p w14:paraId="775D4E1E">
          <w:pPr>
            <w:pStyle w:val="30"/>
            <w:tabs>
              <w:tab w:val="right" w:leader="dot" w:pos="8255"/>
            </w:tabs>
            <w:rPr>
              <w:rFonts w:ascii="Times New Roman" w:hAnsi="Times New Roman" w:eastAsia="方正黑体_GBK" w:cs="Times New Roman"/>
              <w:b/>
              <w:szCs w:val="24"/>
              <w:highlight w:val="none"/>
            </w:rPr>
          </w:pPr>
        </w:p>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7B4D6867">
      <w:pPr>
        <w:rPr>
          <w:rFonts w:hint="eastAsia" w:ascii="方正小标宋_GBK" w:hAnsi="方正小标宋_GBK" w:eastAsia="方正小标宋_GBK" w:cs="方正小标宋_GBK"/>
          <w:highlight w:val="none"/>
        </w:rPr>
      </w:pPr>
    </w:p>
    <w:p w14:paraId="207429E5">
      <w:pPr>
        <w:rPr>
          <w:rFonts w:hint="eastAsia" w:ascii="方正小标宋_GBK" w:hAnsi="方正小标宋_GBK" w:eastAsia="方正小标宋_GBK" w:cs="方正小标宋_GBK"/>
          <w:highlight w:val="none"/>
        </w:rPr>
      </w:pPr>
    </w:p>
    <w:p w14:paraId="7A4E3ED7">
      <w:pPr>
        <w:rPr>
          <w:rFonts w:hint="eastAsia" w:ascii="方正小标宋_GBK" w:hAnsi="方正小标宋_GBK" w:eastAsia="方正小标宋_GBK" w:cs="方正小标宋_GBK"/>
          <w:highlight w:val="none"/>
        </w:rPr>
      </w:pPr>
    </w:p>
    <w:p w14:paraId="74370848">
      <w:pPr>
        <w:rPr>
          <w:rFonts w:hint="eastAsia" w:ascii="方正小标宋_GBK" w:hAnsi="方正小标宋_GBK" w:eastAsia="方正小标宋_GBK" w:cs="方正小标宋_GBK"/>
          <w:highlight w:val="none"/>
        </w:rPr>
      </w:pPr>
    </w:p>
    <w:p w14:paraId="36A400B6">
      <w:pPr>
        <w:rPr>
          <w:rFonts w:hint="eastAsia" w:ascii="方正小标宋_GBK" w:hAnsi="方正小标宋_GBK" w:eastAsia="方正小标宋_GBK" w:cs="方正小标宋_GBK"/>
          <w:highlight w:val="none"/>
        </w:rPr>
      </w:pPr>
    </w:p>
    <w:p w14:paraId="350A6A7B">
      <w:pPr>
        <w:rPr>
          <w:rFonts w:hint="eastAsia" w:ascii="方正小标宋_GBK" w:hAnsi="方正小标宋_GBK" w:eastAsia="方正小标宋_GBK" w:cs="方正小标宋_GBK"/>
          <w:b w:val="0"/>
          <w:bCs w:val="0"/>
          <w:highlight w:val="none"/>
        </w:rPr>
      </w:pP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rPr>
        <w:t>重庆财经学院</w:t>
      </w:r>
      <w:r>
        <w:rPr>
          <w:rFonts w:hint="eastAsia" w:ascii="Times New Roman" w:hAnsi="Times New Roman" w:eastAsia="方正仿宋_GBK" w:cs="Times New Roman"/>
          <w:sz w:val="32"/>
          <w:szCs w:val="32"/>
          <w:highlight w:val="none"/>
          <w:u w:val="single"/>
          <w:lang w:eastAsia="zh-CN"/>
        </w:rPr>
        <w:t>播音与主持艺术专业实训室采购项目</w:t>
      </w:r>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val="en-US" w:eastAsia="zh-CN"/>
        </w:rPr>
        <w:t>挂网</w:t>
      </w:r>
      <w:r>
        <w:rPr>
          <w:rFonts w:ascii="Times New Roman" w:hAnsi="Times New Roman" w:eastAsia="方正仿宋_GBK" w:cs="Times New Roman"/>
          <w:sz w:val="32"/>
          <w:szCs w:val="32"/>
          <w:highlight w:val="none"/>
        </w:rPr>
        <w:t>招标，兹邀请符合本次招标要求的供应商参加投标。</w:t>
      </w: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default" w:ascii="Times New Roman" w:hAnsi="Times New Roman" w:eastAsia="方正仿宋_GBK" w:cs="Times New Roman"/>
          <w:sz w:val="32"/>
          <w:szCs w:val="32"/>
          <w:highlight w:val="none"/>
          <w:u w:val="none"/>
          <w:lang w:val="en-US" w:eastAsia="zh-CN"/>
        </w:rPr>
      </w:pPr>
      <w:r>
        <w:rPr>
          <w:rFonts w:hint="eastAsia" w:ascii="Times New Roman" w:hAnsi="Times New Roman" w:eastAsia="方正仿宋_GBK" w:cs="Times New Roman"/>
          <w:sz w:val="32"/>
          <w:szCs w:val="32"/>
          <w:highlight w:val="none"/>
          <w:u w:val="none"/>
          <w:lang w:val="en-US" w:eastAsia="zh-CN"/>
        </w:rPr>
        <w:t>项目内容的简介：</w:t>
      </w:r>
      <w:r>
        <w:rPr>
          <w:rFonts w:hint="eastAsia" w:ascii="Times New Roman" w:hAnsi="Times New Roman" w:eastAsia="方正仿宋_GBK" w:cs="Times New Roman"/>
          <w:sz w:val="32"/>
          <w:szCs w:val="32"/>
          <w:highlight w:val="none"/>
          <w:lang w:val="en-US" w:eastAsia="zh-CN"/>
        </w:rPr>
        <w:t>建设综合演播实训室与配音艺术实训室，满足课程需求。</w:t>
      </w:r>
    </w:p>
    <w:p w14:paraId="06861C90">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6DC82AA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0000FF"/>
          <w:sz w:val="28"/>
          <w:szCs w:val="28"/>
          <w:highlight w:val="none"/>
          <w:lang w:val="en-US" w:eastAsia="zh-CN"/>
        </w:rPr>
      </w:pPr>
      <w:r>
        <w:rPr>
          <w:rFonts w:hint="eastAsia" w:ascii="方正楷体_GBK" w:hAnsi="方正楷体_GBK" w:eastAsia="方正楷体_GBK" w:cs="方正楷体_GBK"/>
          <w:b/>
          <w:bCs/>
          <w:sz w:val="32"/>
          <w:szCs w:val="32"/>
          <w:highlight w:val="none"/>
          <w:lang w:eastAsia="zh-CN"/>
        </w:rPr>
        <w:t>二、</w:t>
      </w: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sz w:val="32"/>
          <w:szCs w:val="32"/>
          <w:highlight w:val="none"/>
          <w:lang w:val="en-US" w:eastAsia="zh-CN"/>
        </w:rPr>
        <w:t>校内专项经费</w:t>
      </w:r>
      <w:r>
        <w:rPr>
          <w:rFonts w:hint="eastAsia" w:ascii="Times New Roman" w:hAnsi="Times New Roman" w:eastAsia="方正仿宋_GBK" w:cs="Times New Roman"/>
          <w:color w:val="auto"/>
          <w:sz w:val="32"/>
          <w:szCs w:val="32"/>
          <w:highlight w:val="none"/>
          <w:lang w:val="en-US" w:eastAsia="zh-CN"/>
        </w:rPr>
        <w:t>。</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592156D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55E2C5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482938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3．投标人具有依法缴纳税收和社会保障资金的良好纪录；</w:t>
      </w:r>
    </w:p>
    <w:p w14:paraId="374B5F3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7209C1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0B08E1B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6．投标人具备音视频及演播设备供货、安装调试经验，具备专业音频设备安装调试及录音棚声学装修工程实施经验。</w:t>
      </w:r>
    </w:p>
    <w:p w14:paraId="418149E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7．投标人有高校实训室/演播室、录音棚建设相关业绩优先。</w:t>
      </w:r>
    </w:p>
    <w:p w14:paraId="72530F8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8．</w:t>
      </w:r>
      <w:r>
        <w:rPr>
          <w:rFonts w:hint="eastAsia" w:ascii="Times New Roman" w:hAnsi="Times New Roman" w:eastAsia="方正仿宋_GBK" w:cs="Times New Roman"/>
          <w:sz w:val="32"/>
          <w:szCs w:val="32"/>
          <w:highlight w:val="none"/>
          <w:lang w:val="en-US" w:eastAsia="zh-CN"/>
        </w:rPr>
        <w:t>具有完善的质量保证和售后服务体系。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 6月11日至 </w:t>
      </w:r>
      <w:r>
        <w:rPr>
          <w:rFonts w:hint="default" w:ascii="Times New Roman" w:hAnsi="Times New Roman" w:eastAsia="方正仿宋_GBK" w:cs="Times New Roman"/>
          <w:color w:val="auto"/>
          <w:sz w:val="28"/>
          <w:szCs w:val="28"/>
          <w:highlight w:val="none"/>
          <w:lang w:val="en-US" w:eastAsia="zh-CN"/>
        </w:rPr>
        <w:t xml:space="preserve">2025 </w:t>
      </w:r>
      <w:r>
        <w:rPr>
          <w:rFonts w:hint="eastAsia" w:ascii="Times New Roman" w:hAnsi="Times New Roman" w:eastAsia="方正仿宋_GBK" w:cs="Times New Roman"/>
          <w:color w:val="auto"/>
          <w:sz w:val="28"/>
          <w:szCs w:val="28"/>
          <w:highlight w:val="none"/>
          <w:lang w:val="en-US" w:eastAsia="zh-CN"/>
        </w:rPr>
        <w:t>年 6月15日。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6月 16日以内</w:t>
      </w:r>
      <w:r>
        <w:rPr>
          <w:rFonts w:hint="eastAsia" w:ascii="Times New Roman" w:hAnsi="Times New Roman" w:eastAsia="方正仿宋_GBK" w:cs="Times New Roman"/>
          <w:color w:val="auto"/>
          <w:sz w:val="32"/>
          <w:szCs w:val="32"/>
          <w:highlight w:val="none"/>
          <w:lang w:val="en-US" w:eastAsia="zh-CN"/>
        </w:rPr>
        <w:t>。</w:t>
      </w:r>
    </w:p>
    <w:p w14:paraId="6BF1A08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（五）投标截止时间、投标地点、开标时间：</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color w:val="auto"/>
          <w:sz w:val="32"/>
          <w:szCs w:val="32"/>
          <w:highlight w:val="none"/>
          <w:lang w:val="en-US" w:eastAsia="zh-CN"/>
        </w:rPr>
        <w:t>户：1001010120010030105，重庆财经学院，农村商业银行重庆巴南支行。</w:t>
      </w:r>
    </w:p>
    <w:p w14:paraId="4BFF7CD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Times New Roman" w:hAnsi="Times New Roman" w:eastAsia="方正仿宋_GBK" w:cs="Times New Roman"/>
          <w:b w:val="0"/>
          <w:bCs w:val="0"/>
          <w:color w:val="auto"/>
          <w:sz w:val="32"/>
          <w:szCs w:val="32"/>
          <w:highlight w:val="none"/>
          <w:lang w:eastAsia="zh-CN"/>
        </w:rPr>
        <w:t>汇款的</w:t>
      </w:r>
      <w:r>
        <w:rPr>
          <w:rFonts w:hint="eastAsia" w:ascii="Times New Roman" w:hAnsi="Times New Roman" w:eastAsia="方正仿宋_GBK" w:cs="Times New Roman"/>
          <w:b w:val="0"/>
          <w:bCs w:val="0"/>
          <w:color w:val="auto"/>
          <w:sz w:val="32"/>
          <w:szCs w:val="32"/>
          <w:highlight w:val="none"/>
          <w:lang w:val="en-US" w:eastAsia="zh-CN"/>
        </w:rPr>
        <w:t>投标方</w:t>
      </w:r>
      <w:r>
        <w:rPr>
          <w:rFonts w:hint="eastAsia" w:ascii="Times New Roman" w:hAnsi="Times New Roman" w:eastAsia="方正仿宋_GBK" w:cs="Times New Roman"/>
          <w:b w:val="0"/>
          <w:bCs w:val="0"/>
          <w:color w:val="auto"/>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“重庆财经学院播音与主持艺术专业实训室采购项目招标文件购买费”</w:t>
      </w:r>
      <w:r>
        <w:rPr>
          <w:rFonts w:hint="eastAsia" w:ascii="Times New Roman" w:hAnsi="Times New Roman" w:eastAsia="方正仿宋_GBK" w:cs="Times New Roman"/>
          <w:b w:val="0"/>
          <w:bCs w:val="0"/>
          <w:color w:val="auto"/>
          <w:sz w:val="32"/>
          <w:szCs w:val="32"/>
          <w:highlight w:val="none"/>
          <w:lang w:eastAsia="zh-CN"/>
        </w:rPr>
        <w:t>，并在</w:t>
      </w:r>
      <w:r>
        <w:rPr>
          <w:rFonts w:hint="eastAsia" w:ascii="Times New Roman" w:hAnsi="Times New Roman" w:eastAsia="方正仿宋_GBK" w:cs="Times New Roman"/>
          <w:b w:val="0"/>
          <w:bCs w:val="0"/>
          <w:sz w:val="32"/>
          <w:szCs w:val="32"/>
          <w:highlight w:val="none"/>
          <w:lang w:eastAsia="zh-CN"/>
        </w:rPr>
        <w:t>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10D4A44E">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汇款方请在投标截止时间公告日前，及时将缴费记录截图、公司名、项目负责人姓名以邮件发送至1308772756@qq.com邮箱，比便于及时为其开具收款凭证。</w:t>
      </w:r>
    </w:p>
    <w:p w14:paraId="6ABB6F4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
        <w:t>3000元（大写叁仟元整）</w:t>
      </w:r>
      <w:r>
        <w:rPr>
          <w:rFonts w:hint="eastAsia" w:ascii="Times New Roman" w:hAnsi="Times New Roman" w:eastAsia="方正仿宋_GBK" w:cs="Times New Roman"/>
          <w:color w:val="auto"/>
          <w:sz w:val="32"/>
          <w:szCs w:val="32"/>
          <w:highlight w:val="none"/>
          <w:lang w:val="en-US" w:eastAsia="zh-CN"/>
        </w:rPr>
        <w:t>的投标保证金，投标保证金采用信封密封、加盖公章并标注公司名称。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1.5</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default"/>
                <w:szCs w:val="24"/>
                <w:lang w:val="en-US" w:eastAsia="zh-CN"/>
              </w:rPr>
              <w:t>0.8</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（三）超过投标截止时间递交的投标文件，恕不接收。</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59050A8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3FB90D4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七、勘察现场(重要)</w:t>
      </w:r>
    </w:p>
    <w:p w14:paraId="57A9FA8E">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 xml:space="preserve">     </w:t>
      </w:r>
      <w:r>
        <w:rPr>
          <w:rFonts w:hint="eastAsia" w:ascii="Times New Roman" w:hAnsi="Times New Roman" w:eastAsia="方正仿宋_GBK" w:cs="Times New Roman"/>
          <w:sz w:val="32"/>
          <w:szCs w:val="32"/>
          <w:highlight w:val="none"/>
          <w:lang w:val="en-US" w:eastAsia="zh-CN"/>
        </w:rPr>
        <w:t>投标人需进行现场实地勘察，文件中招标项目内容为校方提供的方案内容，仅作参考，本项目需投标人自行现场勘察后带方案报价，报名时默认投标人已进行现场勘察，后续问题自行承担。</w:t>
      </w:r>
    </w:p>
    <w:p w14:paraId="3D3B1225">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     </w:t>
      </w:r>
      <w:r>
        <w:rPr>
          <w:rFonts w:hint="eastAsia" w:ascii="Times New Roman" w:hAnsi="Times New Roman" w:eastAsia="方正仿宋_GBK" w:cs="Times New Roman"/>
          <w:b/>
          <w:bCs/>
          <w:sz w:val="32"/>
          <w:szCs w:val="32"/>
          <w:highlight w:val="none"/>
          <w:lang w:val="en-US" w:eastAsia="zh-CN"/>
        </w:rPr>
        <w:t>具体项目地点：</w:t>
      </w:r>
      <w:r>
        <w:rPr>
          <w:rFonts w:ascii="Times New Roman" w:hAnsi="Times New Roman" w:eastAsia="方正仿宋_GBK" w:cs="Times New Roman"/>
          <w:sz w:val="32"/>
          <w:szCs w:val="32"/>
          <w:highlight w:val="none"/>
        </w:rPr>
        <w:t>重庆市巴南区龙洲湾尚文大道906号</w:t>
      </w:r>
      <w:r>
        <w:rPr>
          <w:rFonts w:hint="eastAsia" w:ascii="Times New Roman" w:hAnsi="Times New Roman" w:eastAsia="方正仿宋_GBK" w:cs="Times New Roman"/>
          <w:sz w:val="32"/>
          <w:szCs w:val="32"/>
          <w:highlight w:val="none"/>
          <w:lang w:eastAsia="zh-CN"/>
        </w:rPr>
        <w:t>教学楼</w:t>
      </w:r>
      <w:r>
        <w:rPr>
          <w:rFonts w:hint="eastAsia" w:ascii="Times New Roman" w:hAnsi="Times New Roman" w:eastAsia="方正仿宋_GBK" w:cs="Times New Roman"/>
          <w:sz w:val="32"/>
          <w:szCs w:val="32"/>
          <w:highlight w:val="none"/>
          <w:lang w:val="en-US" w:eastAsia="zh-CN"/>
        </w:rPr>
        <w:t>1107,1105教室。</w:t>
      </w:r>
    </w:p>
    <w:p w14:paraId="5FA7BA1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 </w:t>
      </w:r>
      <w:r>
        <w:rPr>
          <w:rFonts w:hint="eastAsia" w:ascii="Times New Roman" w:hAnsi="Times New Roman" w:eastAsia="方正仿宋_GBK" w:cs="Times New Roman"/>
          <w:b/>
          <w:bCs/>
          <w:sz w:val="32"/>
          <w:szCs w:val="32"/>
          <w:highlight w:val="none"/>
          <w:lang w:val="en-US" w:eastAsia="zh-CN"/>
        </w:rPr>
        <w:t>勘察联系人</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王老师  19132987528</w:t>
      </w:r>
    </w:p>
    <w:p w14:paraId="717F40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 /13272608984</w:t>
      </w:r>
    </w:p>
    <w:p w14:paraId="662AA1C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技术咨询：王老师，电话：19132987528</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highlight w:val="none"/>
        </w:rPr>
      </w:pPr>
      <w:bookmarkStart w:id="0" w:name="_Toc484637073"/>
      <w:bookmarkStart w:id="1" w:name="_Toc224103315"/>
      <w:bookmarkStart w:id="2" w:name="_Toc30163"/>
      <w:bookmarkStart w:id="3" w:name="_Toc481694468"/>
      <w:bookmarkStart w:id="4" w:name="_Toc531594734"/>
      <w:bookmarkStart w:id="5" w:name="_Toc287607744"/>
      <w:r>
        <w:rPr>
          <w:rFonts w:ascii="Times New Roman" w:hAnsi="Times New Roman" w:eastAsia="方正小标宋_GBK" w:cs="Times New Roman"/>
          <w:highlight w:val="none"/>
        </w:rPr>
        <w:t>第二章 投标人</w:t>
      </w:r>
      <w:r>
        <w:rPr>
          <w:rFonts w:hint="eastAsia" w:ascii="Times New Roman" w:hAnsi="Times New Roman" w:eastAsia="方正小标宋_GBK" w:cs="Times New Roman"/>
          <w:highlight w:val="none"/>
          <w:lang w:val="en-US" w:eastAsia="zh-CN"/>
        </w:rPr>
        <w:t>须</w:t>
      </w:r>
      <w:r>
        <w:rPr>
          <w:rFonts w:ascii="Times New Roman" w:hAnsi="Times New Roman" w:eastAsia="方正小标宋_GBK" w:cs="Times New Roman"/>
          <w:highlight w:val="none"/>
        </w:rPr>
        <w:t>知</w:t>
      </w:r>
      <w:bookmarkEnd w:id="0"/>
      <w:bookmarkEnd w:id="1"/>
      <w:bookmarkEnd w:id="2"/>
      <w:bookmarkEnd w:id="3"/>
      <w:bookmarkEnd w:id="4"/>
      <w:bookmarkEnd w:id="5"/>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eastAsia="zh-CN"/>
        </w:rPr>
        <w:t>须知</w:t>
      </w:r>
      <w:r>
        <w:rPr>
          <w:rFonts w:ascii="Times New Roman" w:hAnsi="Times New Roman" w:eastAsia="方正仿宋_GBK" w:cs="Times New Roman"/>
          <w:sz w:val="32"/>
          <w:szCs w:val="32"/>
          <w:highlight w:val="none"/>
        </w:rPr>
        <w:t>前附表）</w:t>
      </w:r>
    </w:p>
    <w:tbl>
      <w:tblPr>
        <w:tblStyle w:val="42"/>
        <w:tblW w:w="9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967"/>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967"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967"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32"/>
                <w:szCs w:val="32"/>
                <w:highlight w:val="none"/>
                <w:u w:val="none"/>
              </w:rPr>
              <w:t>重庆财经学院</w:t>
            </w:r>
            <w:r>
              <w:rPr>
                <w:rFonts w:hint="eastAsia" w:ascii="Times New Roman" w:hAnsi="Times New Roman" w:eastAsia="方正仿宋_GBK" w:cs="Times New Roman"/>
                <w:sz w:val="32"/>
                <w:szCs w:val="32"/>
                <w:highlight w:val="none"/>
                <w:u w:val="none"/>
                <w:lang w:eastAsia="zh-CN"/>
              </w:rPr>
              <w:t>播音与主持艺术专业实训室采购项目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967"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967"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967"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w:t>
            </w:r>
            <w:r>
              <w:rPr>
                <w:rFonts w:hint="eastAsia" w:ascii="Times New Roman" w:hAnsi="Times New Roman" w:eastAsia="方正仿宋_GBK" w:cs="Times New Roman"/>
                <w:sz w:val="28"/>
                <w:szCs w:val="28"/>
                <w:highlight w:val="none"/>
                <w:lang w:eastAsia="zh-CN"/>
              </w:rPr>
              <w:t>地点</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967"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：重庆财经</w:t>
            </w:r>
            <w:r>
              <w:rPr>
                <w:rFonts w:hint="eastAsia" w:ascii="Times New Roman" w:hAnsi="Times New Roman" w:eastAsia="方正仿宋_GBK" w:cs="Times New Roman"/>
                <w:sz w:val="28"/>
                <w:szCs w:val="28"/>
                <w:highlight w:val="none"/>
                <w:lang w:eastAsia="zh-CN"/>
              </w:rPr>
              <w:t>学院教学楼</w:t>
            </w:r>
            <w:r>
              <w:rPr>
                <w:rFonts w:hint="eastAsia" w:ascii="Times New Roman" w:hAnsi="Times New Roman" w:eastAsia="方正仿宋_GBK" w:cs="Times New Roman"/>
                <w:sz w:val="28"/>
                <w:szCs w:val="28"/>
                <w:highlight w:val="none"/>
                <w:lang w:val="en-US" w:eastAsia="zh-CN"/>
              </w:rPr>
              <w:t>1107教室和教学楼1105教室</w:t>
            </w:r>
            <w:r>
              <w:rPr>
                <w:rFonts w:ascii="Times New Roman" w:hAnsi="Times New Roman" w:eastAsia="方正仿宋_GBK" w:cs="Times New Roman"/>
                <w:sz w:val="28"/>
                <w:szCs w:val="28"/>
                <w:highlight w:val="none"/>
              </w:rPr>
              <w:t>。</w:t>
            </w:r>
          </w:p>
          <w:p w14:paraId="19053D9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中标人应在采购</w:t>
            </w:r>
            <w:r>
              <w:rPr>
                <w:rFonts w:hint="eastAsia" w:ascii="方正仿宋_GBK" w:hAnsi="方正仿宋_GBK" w:eastAsia="方正仿宋_GBK" w:cs="方正仿宋_GBK"/>
                <w:sz w:val="28"/>
                <w:szCs w:val="28"/>
              </w:rPr>
              <w:t>合同签订后30个工作日内，完成两个实训室</w:t>
            </w:r>
            <w:r>
              <w:rPr>
                <w:rFonts w:hint="eastAsia" w:ascii="方正仿宋_GBK" w:hAnsi="方正仿宋_GBK" w:eastAsia="方正仿宋_GBK" w:cs="方正仿宋_GBK"/>
                <w:sz w:val="28"/>
                <w:szCs w:val="28"/>
                <w:lang w:val="en-US" w:eastAsia="zh-CN"/>
              </w:rPr>
              <w:t>改造建设、</w:t>
            </w:r>
            <w:r>
              <w:rPr>
                <w:rFonts w:hint="eastAsia" w:ascii="方正仿宋_GBK" w:hAnsi="方正仿宋_GBK" w:eastAsia="方正仿宋_GBK" w:cs="方正仿宋_GBK"/>
                <w:sz w:val="28"/>
                <w:szCs w:val="28"/>
              </w:rPr>
              <w:t>设备供货、安装、调试与验收</w:t>
            </w:r>
            <w:r>
              <w:rPr>
                <w:rFonts w:hint="eastAsia" w:ascii="Times New Roman" w:hAnsi="Times New Roman" w:eastAsia="方正仿宋_GBK" w:cs="Times New Roman"/>
                <w:color w:val="auto"/>
                <w:sz w:val="28"/>
                <w:szCs w:val="28"/>
                <w:highlight w:val="none"/>
                <w:lang w:val="en-US" w:eastAsia="zh-CN"/>
              </w:rPr>
              <w:t>。</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967" w:type="dxa"/>
            <w:tcBorders>
              <w:top w:val="single" w:color="auto" w:sz="4" w:space="0"/>
              <w:left w:val="single" w:color="auto" w:sz="4" w:space="0"/>
              <w:bottom w:val="single" w:color="auto" w:sz="4" w:space="0"/>
              <w:right w:val="single" w:color="auto" w:sz="4" w:space="0"/>
            </w:tcBorders>
            <w:vAlign w:val="center"/>
          </w:tcPr>
          <w:p w14:paraId="77AEDCC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 设备安装符合教室空间布局，不破坏原有建筑结构。</w:t>
            </w:r>
          </w:p>
          <w:p w14:paraId="4D7C276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 线路铺设规范、安全，满足用电与信号传输需求。</w:t>
            </w:r>
          </w:p>
          <w:p w14:paraId="51FF966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 配合完成实训室整体规划与效果呈现，符合实训教学标准。</w:t>
            </w:r>
          </w:p>
          <w:p w14:paraId="1BAB41A7">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 设备配置充分考虑现有学生及未来扩展需求，避免性能瓶颈。</w:t>
            </w:r>
          </w:p>
          <w:p w14:paraId="5365AD0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 整体建设参照对标效果示意图（见第三章1.2、2.2）实施，确保空间布局合理。</w:t>
            </w:r>
          </w:p>
          <w:p w14:paraId="5BA584A4">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 支撑配音音效设计、人声后期处理等课程模块硬件需求</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967" w:type="dxa"/>
            <w:tcBorders>
              <w:top w:val="single" w:color="auto" w:sz="4" w:space="0"/>
              <w:left w:val="single" w:color="auto" w:sz="4" w:space="0"/>
              <w:bottom w:val="single" w:color="auto" w:sz="4" w:space="0"/>
              <w:right w:val="single" w:color="auto" w:sz="4" w:space="0"/>
            </w:tcBorders>
            <w:vAlign w:val="center"/>
          </w:tcPr>
          <w:p w14:paraId="4757D608">
            <w:pPr>
              <w:numPr>
                <w:ilvl w:val="0"/>
                <w:numId w:val="0"/>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所有设备、材料及施工工程的质量保证期为自项目最终验收合格之日起不少于12个月，核心专业设备质保期不少于36个月。质保期内，中标方对所有质量问题承担免费维修责任。</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967"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967" w:type="dxa"/>
            <w:tcBorders>
              <w:top w:val="single" w:color="auto" w:sz="4" w:space="0"/>
              <w:left w:val="single" w:color="auto" w:sz="4" w:space="0"/>
              <w:bottom w:val="single" w:color="auto" w:sz="4" w:space="0"/>
              <w:right w:val="single" w:color="auto" w:sz="4" w:space="0"/>
            </w:tcBorders>
            <w:shd w:val="clear" w:color="auto" w:fill="auto"/>
            <w:vAlign w:val="center"/>
          </w:tcPr>
          <w:p w14:paraId="69A95295">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lang w:val="en-US" w:eastAsia="zh-CN"/>
              </w:rPr>
              <w:t>7×24小时技术响应，2小时内到场处理故障，24小时内完成修复，维修更换部件质保期重新计算</w:t>
            </w:r>
            <w:r>
              <w:rPr>
                <w:rFonts w:hint="eastAsia" w:ascii="Times New Roman" w:hAnsi="Times New Roman" w:eastAsia="方正仿宋_GBK" w:cs="Times New Roman"/>
                <w:color w:val="auto"/>
                <w:sz w:val="28"/>
                <w:szCs w:val="28"/>
                <w:highlight w:val="none"/>
                <w:lang w:val="en-US" w:eastAsia="zh-CN"/>
              </w:rPr>
              <w:t>；</w:t>
            </w:r>
          </w:p>
          <w:p w14:paraId="42AC0F9C">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提供设备操作培训，确保教师与管理人员熟练使用；‌</w:t>
            </w:r>
          </w:p>
          <w:p w14:paraId="0B3733C8">
            <w:pPr>
              <w:numPr>
                <w:ilvl w:val="0"/>
                <w:numId w:val="0"/>
              </w:numPr>
              <w:spacing w:line="400" w:lineRule="exact"/>
              <w:rPr>
                <w:rFonts w:hint="eastAsia" w:ascii="方正仿宋_GBK" w:hAnsi="方正仿宋_GBK" w:eastAsia="方正仿宋_GBK" w:cs="方正仿宋_GBK"/>
                <w:color w:val="auto"/>
                <w:sz w:val="28"/>
                <w:szCs w:val="28"/>
                <w:lang w:eastAsia="zh-CN"/>
              </w:rPr>
            </w:pPr>
            <w:r>
              <w:rPr>
                <w:rFonts w:hint="eastAsia" w:ascii="Times New Roman" w:hAnsi="Times New Roman" w:eastAsia="方正仿宋_GBK" w:cs="Times New Roman"/>
                <w:color w:val="auto"/>
                <w:sz w:val="28"/>
                <w:szCs w:val="28"/>
                <w:highlight w:val="none"/>
                <w:lang w:val="en-US" w:eastAsia="zh-CN"/>
              </w:rPr>
              <w:t>（3）</w:t>
            </w:r>
            <w:r>
              <w:rPr>
                <w:rFonts w:hint="eastAsia" w:ascii="方正仿宋_GBK" w:hAnsi="方正仿宋_GBK" w:eastAsia="方正仿宋_GBK" w:cs="方正仿宋_GBK"/>
                <w:color w:val="auto"/>
                <w:sz w:val="28"/>
                <w:szCs w:val="28"/>
                <w:lang w:val="en-US" w:eastAsia="zh-CN"/>
              </w:rPr>
              <w:t>每学期一次</w:t>
            </w:r>
            <w:r>
              <w:rPr>
                <w:rFonts w:hint="eastAsia" w:ascii="方正仿宋_GBK" w:hAnsi="方正仿宋_GBK" w:eastAsia="方正仿宋_GBK" w:cs="方正仿宋_GBK"/>
                <w:color w:val="auto"/>
                <w:sz w:val="28"/>
                <w:szCs w:val="28"/>
              </w:rPr>
              <w:t>上门巡检、维护与设备校准服务，保障教学连续性</w:t>
            </w:r>
            <w:r>
              <w:rPr>
                <w:rFonts w:hint="eastAsia" w:ascii="方正仿宋_GBK" w:hAnsi="方正仿宋_GBK" w:eastAsia="方正仿宋_GBK" w:cs="方正仿宋_GBK"/>
                <w:color w:val="auto"/>
                <w:sz w:val="28"/>
                <w:szCs w:val="28"/>
                <w:lang w:eastAsia="zh-CN"/>
              </w:rPr>
              <w:t>；</w:t>
            </w:r>
          </w:p>
          <w:p w14:paraId="586BDE62">
            <w:pPr>
              <w:numPr>
                <w:ilvl w:val="0"/>
                <w:numId w:val="0"/>
              </w:numPr>
              <w:spacing w:line="400" w:lineRule="exact"/>
              <w:rPr>
                <w:rFonts w:hint="eastAsia"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（4）质保期后提供成本价维修、升级服务。</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967" w:type="dxa"/>
            <w:tcBorders>
              <w:top w:val="single" w:color="auto" w:sz="4" w:space="0"/>
              <w:left w:val="single" w:color="auto" w:sz="4" w:space="0"/>
              <w:bottom w:val="single" w:color="auto" w:sz="4" w:space="0"/>
              <w:right w:val="single" w:color="auto" w:sz="4" w:space="0"/>
            </w:tcBorders>
            <w:shd w:val="clear" w:color="auto" w:fill="auto"/>
            <w:vAlign w:val="top"/>
          </w:tcPr>
          <w:p w14:paraId="31E3B9C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1.货物到达现场后，中标人应在使用单位人员在场情况下当面开箱，共同清点、检查外观，作出开箱记录，双方签字确认。</w:t>
            </w:r>
          </w:p>
          <w:p w14:paraId="44ACEE1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2.中标人应保证货物到达采购人所在地完好无损，如有缺漏、损坏，由投标人负责调换、补齐或赔偿。</w:t>
            </w:r>
          </w:p>
          <w:p w14:paraId="32B37F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3.中标人应提供完备的技术资料、装箱单和合格证等，并派遣专业技术人员进行现场安装调试。</w:t>
            </w:r>
            <w:r>
              <w:rPr>
                <w:rFonts w:hint="eastAsia" w:ascii="Times New Roman" w:hAnsi="Times New Roman" w:eastAsia="方正仿宋_GBK" w:cs="Times New Roman"/>
                <w:b/>
                <w:bCs/>
                <w:color w:val="auto"/>
                <w:sz w:val="28"/>
                <w:szCs w:val="28"/>
                <w:highlight w:val="none"/>
                <w:lang w:val="en-US" w:eastAsia="zh-CN"/>
              </w:rPr>
              <w:t>验收合格条件如下：</w:t>
            </w:r>
          </w:p>
          <w:p w14:paraId="2E53DC6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（一）综合演播实训室</w:t>
            </w:r>
          </w:p>
          <w:p w14:paraId="1CFB5D9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1.设备到货后核对品牌、型号、数量、配件，与采购清单一致；</w:t>
            </w:r>
          </w:p>
          <w:p w14:paraId="0291F05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2.完成安装调试，双直播区功能正常运行；</w:t>
            </w:r>
          </w:p>
          <w:p w14:paraId="2B98D32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3.显示、灯光、摄像、中控台等系统稳定，满足教学上镜与直播实训需求；</w:t>
            </w:r>
          </w:p>
          <w:p w14:paraId="69ECEC1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（二）配音艺术实训室</w:t>
            </w:r>
          </w:p>
          <w:p w14:paraId="3ADF47AE">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1.工程验收：声学装修需经专业测试，达到隔音及混响时间标准。</w:t>
            </w:r>
          </w:p>
          <w:p w14:paraId="6F5F66B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2.设备验收：所有设备需现场开机测试，各项技术指标需严格对标要求，并能流畅运行多轨录音、混音等教学场景。</w:t>
            </w:r>
          </w:p>
          <w:p w14:paraId="661D9A1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3.功能验收：需演示支持 3 组学生同时分组实训，且音质达到行业投递标准。</w:t>
            </w:r>
          </w:p>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4.两个实训室统一完成联合验收，出具整体验收报告。</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967"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2DF92CA0">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5CFA7FF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6923192C">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3．投标人具有依法缴纳税收和社会保障资金的良好纪录；</w:t>
            </w:r>
          </w:p>
          <w:p w14:paraId="4A9AF569">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5DCFB588">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0A17E49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6．投标人具备音视频及演播设备供货、安装调试经验，具备专业音频设备安装调试及录音棚声学装修工程实施经验。</w:t>
            </w:r>
          </w:p>
          <w:p w14:paraId="322731E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7．投标人有高校实训室/演播室、录音棚建设相关业绩优先。</w:t>
            </w:r>
          </w:p>
          <w:p w14:paraId="0403550B">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967"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967"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方正仿宋_GBK" w:hAnsi="方正仿宋_GBK" w:eastAsia="方正仿宋_GBK" w:cs="方正仿宋_GBK"/>
                <w:sz w:val="28"/>
                <w:szCs w:val="28"/>
                <w:lang w:val="en-US" w:eastAsia="zh-CN"/>
              </w:rPr>
              <w:t>王老师</w:t>
            </w:r>
            <w:r>
              <w:rPr>
                <w:rFonts w:hint="eastAsia" w:ascii="Times New Roman" w:hAnsi="Times New Roman" w:eastAsia="方正仿宋_GBK" w:cs="Times New Roman"/>
                <w:sz w:val="28"/>
                <w:szCs w:val="28"/>
                <w:highlight w:val="none"/>
              </w:rPr>
              <w:t>（</w:t>
            </w:r>
            <w:r>
              <w:rPr>
                <w:rFonts w:hint="eastAsia" w:ascii="方正仿宋_GBK" w:hAnsi="方正仿宋_GBK" w:eastAsia="方正仿宋_GBK" w:cs="方正仿宋_GBK"/>
                <w:sz w:val="28"/>
                <w:szCs w:val="28"/>
                <w:lang w:val="en-US" w:eastAsia="zh-CN"/>
              </w:rPr>
              <w:t>19132987528</w:t>
            </w:r>
            <w:r>
              <w:rPr>
                <w:rFonts w:hint="eastAsia" w:ascii="Times New Roman" w:hAnsi="Times New Roman" w:eastAsia="方正仿宋_GBK" w:cs="Times New Roman"/>
                <w:sz w:val="28"/>
                <w:szCs w:val="28"/>
                <w:highlight w:val="none"/>
              </w:rPr>
              <w:t>）</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967"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967"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967"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967"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8E4D38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2026年6月16日内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967"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967"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967"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967"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 投标人的投标报价应是本章投标人须知前附表</w:t>
            </w:r>
            <w:r>
              <w:rPr>
                <w:rFonts w:ascii="Times New Roman" w:hAnsi="Times New Roman" w:eastAsia="方正仿宋_GBK" w:cs="Times New Roman"/>
                <w:color w:val="auto"/>
                <w:sz w:val="28"/>
                <w:szCs w:val="28"/>
                <w:highlight w:val="none"/>
              </w:rPr>
              <w:t>1.3.1项中所述的</w:t>
            </w:r>
            <w:r>
              <w:rPr>
                <w:rFonts w:ascii="Times New Roman" w:hAnsi="Times New Roman" w:eastAsia="方正仿宋_GBK" w:cs="Times New Roman"/>
                <w:sz w:val="28"/>
                <w:szCs w:val="28"/>
                <w:highlight w:val="none"/>
              </w:rPr>
              <w:t>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投标报价须为人民币报价，包括完成本项目所确定的全部工作内容的包干价。包含：建设费、服务费、数据接口费、调研费、劳务费、安装调试费、质保期内免费升级、培训费、耗材费、加班费、劳动保险费、劳保用品、易耗工具、机械使用费、服务地点内垃圾清运、安全措施费、交通组织费、装卸搬运费、管理费、政策性文件规定及合同包含的所有风险费、利润、税金等履行完本项目的所有费用，采购人不再追加其他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967"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967"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967"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967"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967"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967"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967"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967"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967"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播音与主持艺术专业实训室采购项目</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967"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967"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967"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967"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967"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967"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967"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967"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967" w:type="dxa"/>
            <w:tcBorders>
              <w:top w:val="single" w:color="auto" w:sz="4" w:space="0"/>
              <w:left w:val="single" w:color="auto" w:sz="4" w:space="0"/>
              <w:bottom w:val="single" w:color="auto" w:sz="4" w:space="0"/>
              <w:right w:val="single" w:color="auto" w:sz="4" w:space="0"/>
            </w:tcBorders>
            <w:vAlign w:val="center"/>
          </w:tcPr>
          <w:p w14:paraId="49A91035">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4DE466E9">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8482"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8482"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8482"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本项目从签订合同起，中标方应按照招标方的要求将所提供的设备安装到指定地点</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并完成调试工作</w:t>
            </w:r>
            <w:r>
              <w:rPr>
                <w:rFonts w:ascii="Times New Roman" w:hAnsi="Times New Roman" w:eastAsia="方正仿宋_GBK" w:cs="Times New Roman"/>
                <w:sz w:val="28"/>
                <w:szCs w:val="28"/>
                <w:highlight w:val="non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8482"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现场改造、设备安装、调试、培训完成后，根据付款方式规定的时间节点和验收要求，验收合格并履行完验收手续后，在支付第一笔合同款时，甲方通知乙方开具全额正规税务发票并同时提供汇款单位名称、帐号、开户行等。</w:t>
            </w:r>
          </w:p>
          <w:p w14:paraId="53DBDFD8">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10838573">
            <w:pPr>
              <w:numPr>
                <w:ilvl w:val="0"/>
                <w:numId w:val="11"/>
              </w:numPr>
              <w:shd w:val="clear"/>
              <w:adjustRightInd w:val="0"/>
              <w:spacing w:line="400" w:lineRule="exact"/>
              <w:ind w:left="0" w:leftChars="0" w:firstLine="0" w:firstLineChars="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合同签订后支付 20% 合同款；</w:t>
            </w:r>
          </w:p>
          <w:p w14:paraId="1EEF864B">
            <w:pPr>
              <w:numPr>
                <w:ilvl w:val="0"/>
                <w:numId w:val="11"/>
              </w:numPr>
              <w:shd w:val="clear"/>
              <w:adjustRightInd w:val="0"/>
              <w:spacing w:line="400" w:lineRule="exact"/>
              <w:ind w:left="0" w:leftChars="0" w:firstLine="0" w:firstLineChars="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项目进场满一周支付 60% 合同款（无息）；</w:t>
            </w:r>
          </w:p>
          <w:p w14:paraId="6A0D1DF9">
            <w:pPr>
              <w:numPr>
                <w:ilvl w:val="0"/>
                <w:numId w:val="11"/>
              </w:numPr>
              <w:shd w:val="clear"/>
              <w:adjustRightInd w:val="0"/>
              <w:spacing w:line="400" w:lineRule="exact"/>
              <w:ind w:left="0" w:leftChars="0" w:firstLine="0" w:firstLineChars="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项目验收合格后支付 15% 合同款（无息）；</w:t>
            </w:r>
          </w:p>
          <w:p w14:paraId="667EBAAA">
            <w:pPr>
              <w:numPr>
                <w:ilvl w:val="0"/>
                <w:numId w:val="11"/>
              </w:numPr>
              <w:shd w:val="clear"/>
              <w:adjustRightInd w:val="0"/>
              <w:spacing w:line="400" w:lineRule="exact"/>
              <w:ind w:left="0" w:leftChars="0" w:firstLine="0" w:firstLineChars="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项目交付满一年后支付剩余 5% 合同款（无息）。</w:t>
            </w:r>
          </w:p>
          <w:p w14:paraId="0FE4002B">
            <w:pPr>
              <w:numPr>
                <w:ilvl w:val="0"/>
                <w:numId w:val="11"/>
              </w:numPr>
              <w:shd w:val="clear"/>
              <w:adjustRightInd w:val="0"/>
              <w:spacing w:line="400" w:lineRule="exact"/>
              <w:ind w:left="0" w:leftChars="0" w:firstLine="0" w:firstLineChars="0"/>
              <w:jc w:val="left"/>
              <w:textAlignment w:val="baseline"/>
              <w:rPr>
                <w:rFonts w:ascii="Times New Roman" w:hAnsi="Times New Roman" w:eastAsia="方正仿宋_GBK" w:cs="Times New Roman"/>
                <w:b/>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最终支付方式由双方协商一致执行。</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 w:name="_Toc12010"/>
      <w:bookmarkStart w:id="7" w:name="_Toc531594736"/>
      <w:bookmarkStart w:id="8" w:name="_Toc334774165"/>
      <w:r>
        <w:rPr>
          <w:rFonts w:ascii="Times New Roman" w:hAnsi="Times New Roman" w:eastAsia="方正仿宋_GBK" w:cs="Times New Roman"/>
          <w:b/>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1.1.1 根据《</w:t>
      </w:r>
      <w:r>
        <w:rPr>
          <w:rFonts w:hint="eastAsia" w:ascii="Times New Roman" w:hAnsi="Times New Roman" w:eastAsia="方正仿宋_GBK" w:cs="Times New Roman"/>
          <w:kern w:val="0"/>
          <w:sz w:val="21"/>
          <w:szCs w:val="21"/>
          <w:highlight w:val="none"/>
          <w:lang w:val="en-US" w:eastAsia="zh-CN"/>
        </w:rPr>
        <w:t>重庆财经学院采购与招标工作管理办法</w:t>
      </w:r>
      <w:r>
        <w:rPr>
          <w:rFonts w:ascii="Times New Roman" w:hAnsi="Times New Roman" w:eastAsia="方正仿宋_GBK" w:cs="Times New Roman"/>
          <w:kern w:val="0"/>
          <w:sz w:val="21"/>
          <w:szCs w:val="21"/>
          <w:highlight w:val="none"/>
        </w:rPr>
        <w:t>》等规定，对本项目货物采购及服务进行</w:t>
      </w:r>
      <w:r>
        <w:rPr>
          <w:rFonts w:hint="eastAsia" w:ascii="Times New Roman" w:hAnsi="Times New Roman" w:eastAsia="方正仿宋_GBK" w:cs="Times New Roman"/>
          <w:kern w:val="0"/>
          <w:sz w:val="21"/>
          <w:szCs w:val="21"/>
          <w:highlight w:val="none"/>
          <w:lang w:val="en-US" w:eastAsia="zh-CN"/>
        </w:rPr>
        <w:t>挂网</w:t>
      </w:r>
      <w:r>
        <w:rPr>
          <w:rFonts w:ascii="Times New Roman" w:hAnsi="Times New Roman" w:eastAsia="方正仿宋_GBK" w:cs="Times New Roman"/>
          <w:kern w:val="0"/>
          <w:sz w:val="21"/>
          <w:szCs w:val="21"/>
          <w:highlight w:val="none"/>
        </w:rPr>
        <w:t>招标。</w:t>
      </w:r>
    </w:p>
    <w:p w14:paraId="518150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1.1.2 本招标项目名称、项目地点：见投标人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68F52E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1.1.3 招标人名称、地址、联系方式：见投标人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2100AE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 w:name="_Toc200513128"/>
      <w:bookmarkStart w:id="10" w:name="_Toc317863424"/>
      <w:bookmarkStart w:id="11" w:name="_Toc325636582"/>
      <w:bookmarkStart w:id="12" w:name="_Toc31904"/>
      <w:bookmarkStart w:id="13" w:name="_Toc531594737"/>
      <w:bookmarkStart w:id="14" w:name="_Toc334774166"/>
      <w:r>
        <w:rPr>
          <w:rFonts w:ascii="Times New Roman" w:hAnsi="Times New Roman" w:eastAsia="方正仿宋_GBK" w:cs="Times New Roman"/>
          <w:b/>
          <w:kern w:val="0"/>
          <w:sz w:val="21"/>
          <w:szCs w:val="21"/>
          <w:highlight w:val="none"/>
        </w:rPr>
        <w:t xml:space="preserve">1.2 </w:t>
      </w:r>
      <w:bookmarkEnd w:id="9"/>
      <w:bookmarkEnd w:id="10"/>
      <w:bookmarkEnd w:id="11"/>
      <w:r>
        <w:rPr>
          <w:rFonts w:ascii="Times New Roman" w:hAnsi="Times New Roman" w:eastAsia="方正仿宋_GBK" w:cs="Times New Roman"/>
          <w:b/>
          <w:kern w:val="0"/>
          <w:sz w:val="21"/>
          <w:szCs w:val="21"/>
          <w:highlight w:val="none"/>
        </w:rPr>
        <w:t>资金来源和落实情况</w:t>
      </w:r>
      <w:bookmarkEnd w:id="12"/>
      <w:bookmarkEnd w:id="13"/>
      <w:bookmarkEnd w:id="14"/>
    </w:p>
    <w:p w14:paraId="32345D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1.2.1 本招标项目的资金来源：见投标人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1E00D1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1.2.2 本招标项目的资金落实情况：见投标人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2060D8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 w:name="_Toc200513129"/>
      <w:bookmarkStart w:id="16" w:name="_Toc317863425"/>
      <w:bookmarkStart w:id="17" w:name="_Toc334774167"/>
      <w:bookmarkStart w:id="18" w:name="_Toc531594738"/>
      <w:bookmarkStart w:id="19" w:name="_Toc325636583"/>
      <w:bookmarkStart w:id="20" w:name="_Toc21275"/>
      <w:r>
        <w:rPr>
          <w:rFonts w:ascii="Times New Roman" w:hAnsi="Times New Roman" w:eastAsia="方正仿宋_GBK" w:cs="Times New Roman"/>
          <w:b/>
          <w:kern w:val="0"/>
          <w:sz w:val="21"/>
          <w:szCs w:val="21"/>
          <w:highlight w:val="none"/>
        </w:rPr>
        <w:t>1.3 招标</w:t>
      </w:r>
      <w:bookmarkEnd w:id="15"/>
      <w:bookmarkEnd w:id="16"/>
      <w:r>
        <w:rPr>
          <w:rFonts w:ascii="Times New Roman" w:hAnsi="Times New Roman" w:eastAsia="方正仿宋_GBK" w:cs="Times New Roman"/>
          <w:b/>
          <w:kern w:val="0"/>
          <w:sz w:val="21"/>
          <w:szCs w:val="21"/>
          <w:highlight w:val="none"/>
        </w:rPr>
        <w:t>内容</w:t>
      </w:r>
      <w:bookmarkEnd w:id="17"/>
      <w:bookmarkEnd w:id="18"/>
      <w:bookmarkEnd w:id="19"/>
      <w:bookmarkEnd w:id="20"/>
    </w:p>
    <w:p w14:paraId="3E6485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1.3.1 本次招标范围：见投标人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315B37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1.3.2 交货方式、交货时间：见投标人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136F5F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1.3.3 伴随服务要求：见投标人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32B1DF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6CD3F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1.3.5 质量要求：见投标人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w:t>
      </w:r>
    </w:p>
    <w:p w14:paraId="1A7DA7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618C29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 w:name="_Toc8901"/>
      <w:bookmarkStart w:id="22" w:name="_Toc334774168"/>
      <w:bookmarkStart w:id="23" w:name="_Toc325636584"/>
      <w:bookmarkStart w:id="24" w:name="_Toc531594739"/>
      <w:r>
        <w:rPr>
          <w:rFonts w:ascii="Times New Roman" w:hAnsi="Times New Roman" w:eastAsia="方正仿宋_GBK" w:cs="Times New Roman"/>
          <w:b/>
          <w:color w:val="auto"/>
          <w:kern w:val="0"/>
          <w:sz w:val="21"/>
          <w:szCs w:val="21"/>
          <w:highlight w:val="none"/>
        </w:rPr>
        <w:t>1.4 投标人资格要求</w:t>
      </w:r>
      <w:bookmarkEnd w:id="21"/>
      <w:bookmarkEnd w:id="22"/>
      <w:bookmarkEnd w:id="23"/>
      <w:bookmarkEnd w:id="24"/>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317863427"/>
      <w:bookmarkStart w:id="26" w:name="_Toc325636585"/>
      <w:bookmarkStart w:id="27" w:name="_Toc531594740"/>
      <w:bookmarkStart w:id="28" w:name="_Toc334774169"/>
      <w:bookmarkStart w:id="29" w:name="_Toc200513132"/>
      <w:bookmarkStart w:id="30" w:name="_Toc17569"/>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1" w:name="_Toc317863428"/>
      <w:bookmarkStart w:id="32" w:name="_Toc334774170"/>
      <w:bookmarkStart w:id="33" w:name="_Toc325636586"/>
      <w:bookmarkStart w:id="34" w:name="_Toc200513133"/>
      <w:r>
        <w:rPr>
          <w:rFonts w:ascii="Times New Roman" w:hAnsi="Times New Roman" w:eastAsia="方正仿宋_GBK" w:cs="Times New Roman"/>
          <w:b/>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 w:name="_Toc317863429"/>
      <w:bookmarkStart w:id="36" w:name="_Toc531594741"/>
      <w:bookmarkStart w:id="37" w:name="_Toc200513134"/>
      <w:bookmarkStart w:id="38" w:name="_Toc325636587"/>
      <w:bookmarkStart w:id="39" w:name="_Toc334774171"/>
      <w:bookmarkStart w:id="40" w:name="_Toc19952"/>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1" w:name="_Toc531594742"/>
      <w:bookmarkStart w:id="42" w:name="_Toc200513135"/>
      <w:bookmarkStart w:id="43" w:name="_Toc317863430"/>
      <w:bookmarkStart w:id="44" w:name="_Toc334774172"/>
      <w:bookmarkStart w:id="45" w:name="_Toc16650"/>
      <w:bookmarkStart w:id="46" w:name="_Toc325636588"/>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7" w:name="_Toc200513136"/>
      <w:bookmarkStart w:id="48" w:name="_Toc317863431"/>
      <w:bookmarkStart w:id="49" w:name="_Toc334774173"/>
      <w:bookmarkStart w:id="50" w:name="_Toc325636589"/>
      <w:bookmarkStart w:id="51" w:name="_Toc26520"/>
      <w:bookmarkStart w:id="52" w:name="_Toc531594743"/>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3" w:name="_Toc325636593"/>
      <w:bookmarkStart w:id="54" w:name="_Toc19903"/>
      <w:bookmarkStart w:id="55" w:name="_Toc531594746"/>
      <w:bookmarkStart w:id="56" w:name="_Toc317863435"/>
      <w:bookmarkStart w:id="57" w:name="_Toc334774176"/>
      <w:r>
        <w:rPr>
          <w:rFonts w:ascii="Times New Roman" w:hAnsi="Times New Roman" w:eastAsia="方正仿宋_GBK" w:cs="Times New Roman"/>
          <w:b/>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w:t>
      </w:r>
      <w:r>
        <w:rPr>
          <w:rFonts w:hint="eastAsia" w:ascii="Times New Roman" w:hAnsi="Times New Roman" w:eastAsia="方正仿宋_GBK" w:cs="Times New Roman"/>
          <w:kern w:val="0"/>
          <w:sz w:val="21"/>
          <w:szCs w:val="21"/>
          <w:highlight w:val="none"/>
          <w:lang w:eastAsia="zh-CN"/>
        </w:rPr>
        <w:t>须知</w:t>
      </w:r>
      <w:r>
        <w:rPr>
          <w:rFonts w:ascii="Times New Roman" w:hAnsi="Times New Roman" w:eastAsia="方正仿宋_GBK" w:cs="Times New Roman"/>
          <w:kern w:val="0"/>
          <w:sz w:val="21"/>
          <w:szCs w:val="21"/>
          <w:highlight w:val="none"/>
        </w:rPr>
        <w:t>前附表允许投标文件偏离招标文件某些要求的，偏离应当符合招标文件规定的偏离范围和幅度。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531594747"/>
      <w:bookmarkStart w:id="59" w:name="_Toc778"/>
      <w:bookmarkStart w:id="60" w:name="_Toc317863436"/>
      <w:bookmarkStart w:id="61" w:name="_Toc334774177"/>
      <w:bookmarkStart w:id="62" w:name="_Toc200513140"/>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3" w:name="_Toc32194"/>
      <w:bookmarkStart w:id="64" w:name="_Toc325636595"/>
      <w:bookmarkStart w:id="65" w:name="_Toc317863437"/>
      <w:bookmarkStart w:id="66" w:name="_Toc531594748"/>
      <w:bookmarkStart w:id="67" w:name="_Toc334774178"/>
      <w:bookmarkStart w:id="68" w:name="_Toc200513141"/>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（5）投标文件格式；</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根据本章第1.10款、第2.2款和第2.3款对招标文件所</w:t>
      </w:r>
      <w:r>
        <w:rPr>
          <w:rFonts w:hint="eastAsia" w:ascii="Times New Roman" w:hAnsi="Times New Roman" w:eastAsia="方正仿宋_GBK" w:cs="Times New Roman"/>
          <w:kern w:val="0"/>
          <w:sz w:val="21"/>
          <w:szCs w:val="21"/>
          <w:highlight w:val="none"/>
          <w:lang w:eastAsia="zh-CN"/>
        </w:rPr>
        <w:t>做</w:t>
      </w:r>
      <w:r>
        <w:rPr>
          <w:rFonts w:ascii="Times New Roman" w:hAnsi="Times New Roman" w:eastAsia="方正仿宋_GBK" w:cs="Times New Roman"/>
          <w:kern w:val="0"/>
          <w:sz w:val="21"/>
          <w:szCs w:val="21"/>
          <w:highlight w:val="none"/>
        </w:rPr>
        <w:t>的澄清、修改，构成招标文件的组成部分。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9" w:name="_Toc317863438"/>
      <w:bookmarkStart w:id="70" w:name="_Toc325636596"/>
      <w:bookmarkStart w:id="71" w:name="_Toc334774179"/>
      <w:bookmarkStart w:id="72" w:name="_Toc200513142"/>
      <w:bookmarkStart w:id="73" w:name="_Toc531594749"/>
      <w:bookmarkStart w:id="74" w:name="_Toc13635"/>
      <w:r>
        <w:rPr>
          <w:rFonts w:ascii="Times New Roman" w:hAnsi="Times New Roman" w:eastAsia="方正仿宋_GBK" w:cs="Times New Roman"/>
          <w:b/>
          <w:kern w:val="0"/>
          <w:sz w:val="21"/>
          <w:szCs w:val="21"/>
          <w:highlight w:val="none"/>
        </w:rPr>
        <w:t xml:space="preserve">2.2 </w:t>
      </w:r>
      <w:bookmarkEnd w:id="69"/>
      <w:bookmarkEnd w:id="70"/>
      <w:bookmarkEnd w:id="71"/>
      <w:bookmarkEnd w:id="72"/>
      <w:r>
        <w:rPr>
          <w:rFonts w:ascii="Times New Roman" w:hAnsi="Times New Roman" w:eastAsia="方正仿宋_GBK" w:cs="Times New Roman"/>
          <w:b/>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5" w:name="_Toc531594750"/>
      <w:bookmarkStart w:id="76" w:name="_Toc29041"/>
      <w:r>
        <w:rPr>
          <w:rFonts w:ascii="Times New Roman" w:hAnsi="Times New Roman" w:eastAsia="方正仿宋_GBK" w:cs="Times New Roman"/>
          <w:b/>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kern w:val="0"/>
          <w:sz w:val="21"/>
          <w:szCs w:val="21"/>
          <w:highlight w:val="none"/>
          <w:lang w:eastAsia="zh-CN"/>
        </w:rPr>
        <w:t>查询</w:t>
      </w:r>
      <w:r>
        <w:rPr>
          <w:rFonts w:ascii="Times New Roman" w:hAnsi="Times New Roman" w:eastAsia="方正仿宋_GBK" w:cs="Times New Roman"/>
          <w:kern w:val="0"/>
          <w:sz w:val="21"/>
          <w:szCs w:val="21"/>
          <w:highlight w:val="none"/>
        </w:rPr>
        <w:t>通知、修改、答疑等信息，如果投标人疏忽大意，其后果自负。如果澄清、修改和答疑的时间距投标截止时间不足1天，经有关部门同意后通知相应延长投标截止时间。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531594752"/>
      <w:bookmarkStart w:id="80" w:name="_Toc317863441"/>
      <w:bookmarkStart w:id="81" w:name="_Toc19286"/>
      <w:bookmarkStart w:id="82" w:name="_Toc325636599"/>
      <w:bookmarkStart w:id="83" w:name="_Toc200513145"/>
      <w:bookmarkStart w:id="84" w:name="_Toc334774182"/>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ascii="Times New Roman" w:hAnsi="Times New Roman" w:eastAsia="方正仿宋_GBK" w:cs="Times New Roman"/>
          <w:color w:val="auto"/>
          <w:kern w:val="0"/>
          <w:sz w:val="21"/>
          <w:szCs w:val="21"/>
          <w:highlight w:val="none"/>
        </w:rPr>
        <w:t>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5" w:name="_Toc200513147"/>
      <w:bookmarkStart w:id="86" w:name="_Toc334774184"/>
      <w:bookmarkStart w:id="87" w:name="_Toc325636601"/>
      <w:bookmarkStart w:id="88" w:name="_Toc317863443"/>
      <w:bookmarkStart w:id="89" w:name="_Toc531594754"/>
      <w:bookmarkStart w:id="90" w:name="_Toc12196"/>
      <w:r>
        <w:rPr>
          <w:rFonts w:ascii="Times New Roman" w:hAnsi="Times New Roman" w:eastAsia="方正仿宋_GBK" w:cs="Times New Roman"/>
          <w:b/>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531594755"/>
      <w:bookmarkStart w:id="92" w:name="_Toc317863444"/>
      <w:bookmarkStart w:id="93" w:name="_Toc28560"/>
      <w:bookmarkStart w:id="94" w:name="_Toc200513148"/>
      <w:bookmarkStart w:id="95" w:name="_Toc334774185"/>
      <w:bookmarkStart w:id="96" w:name="_Toc325636602"/>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p>
    <w:p w14:paraId="01FEB8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317863446"/>
      <w:bookmarkStart w:id="98" w:name="_Toc531594756"/>
      <w:bookmarkStart w:id="99" w:name="_Toc334774187"/>
      <w:bookmarkStart w:id="100" w:name="_Toc325636604"/>
      <w:bookmarkStart w:id="101" w:name="_Toc7983"/>
      <w:bookmarkStart w:id="102" w:name="_Toc200513151"/>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p>
    <w:p w14:paraId="08C29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bookmarkEnd w:id="97"/>
      <w:bookmarkEnd w:id="98"/>
      <w:bookmarkEnd w:id="99"/>
      <w:bookmarkEnd w:id="100"/>
      <w:bookmarkEnd w:id="101"/>
      <w:bookmarkEnd w:id="102"/>
      <w:bookmarkStart w:id="103" w:name="_Toc325636605"/>
      <w:bookmarkStart w:id="104" w:name="_Toc317863447"/>
      <w:bookmarkStart w:id="105" w:name="_Toc334774188"/>
      <w:bookmarkStart w:id="106" w:name="_Toc21408"/>
      <w:bookmarkStart w:id="107" w:name="_Toc200513152"/>
      <w:bookmarkStart w:id="108" w:name="_Toc531594757"/>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3.7.1 投标文件应按第五章</w:t>
      </w:r>
      <w:r>
        <w:rPr>
          <w:rFonts w:ascii="Times New Roman" w:hAnsi="Times New Roman" w:eastAsia="方正仿宋_GBK" w:cs="Times New Roman"/>
          <w:kern w:val="0"/>
          <w:sz w:val="21"/>
          <w:szCs w:val="21"/>
          <w:highlight w:val="none"/>
        </w:rPr>
        <w:t>“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317863448"/>
      <w:bookmarkStart w:id="110" w:name="_Toc13793"/>
      <w:bookmarkStart w:id="111" w:name="_Toc200513153"/>
      <w:bookmarkStart w:id="112" w:name="_Toc334774189"/>
      <w:bookmarkStart w:id="113" w:name="_Toc531594758"/>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200513154"/>
      <w:bookmarkStart w:id="115" w:name="_Toc325636607"/>
      <w:bookmarkStart w:id="116" w:name="_Toc26003"/>
      <w:bookmarkStart w:id="117" w:name="_Toc334774190"/>
      <w:bookmarkStart w:id="118" w:name="_Toc317863449"/>
      <w:bookmarkStart w:id="119" w:name="_Toc531594759"/>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334774191"/>
      <w:bookmarkStart w:id="121" w:name="_Toc317863450"/>
      <w:bookmarkStart w:id="122" w:name="_Toc5004"/>
      <w:bookmarkStart w:id="123" w:name="_Toc325636608"/>
      <w:bookmarkStart w:id="124" w:name="_Toc531594760"/>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317863451"/>
      <w:bookmarkStart w:id="126" w:name="_Toc20769"/>
      <w:bookmarkStart w:id="127" w:name="_Toc325636609"/>
      <w:bookmarkStart w:id="128" w:name="_Toc200513156"/>
      <w:bookmarkStart w:id="129" w:name="_Toc334774192"/>
      <w:bookmarkStart w:id="130" w:name="_Toc531594761"/>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200513157"/>
      <w:bookmarkStart w:id="132" w:name="_Toc317863452"/>
      <w:bookmarkStart w:id="133" w:name="_Toc1489"/>
      <w:bookmarkStart w:id="134" w:name="_Toc334774193"/>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开标时间及地点见投标人</w:t>
      </w:r>
      <w:r>
        <w:rPr>
          <w:rFonts w:hint="eastAsia" w:ascii="Times New Roman" w:hAnsi="Times New Roman" w:eastAsia="方正仿宋_GBK" w:cs="Times New Roman"/>
          <w:kern w:val="0"/>
          <w:sz w:val="21"/>
          <w:szCs w:val="21"/>
          <w:highlight w:val="none"/>
          <w:lang w:val="en-US" w:eastAsia="zh-CN"/>
        </w:rPr>
        <w:t>须</w:t>
      </w:r>
      <w:r>
        <w:rPr>
          <w:rFonts w:ascii="Times New Roman" w:hAnsi="Times New Roman" w:eastAsia="方正仿宋_GBK" w:cs="Times New Roman"/>
          <w:kern w:val="0"/>
          <w:sz w:val="21"/>
          <w:szCs w:val="21"/>
          <w:highlight w:val="none"/>
        </w:rPr>
        <w:t>知前附表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7" w:name="_Toc531594764"/>
      <w:r>
        <w:rPr>
          <w:rFonts w:ascii="Times New Roman" w:hAnsi="Times New Roman" w:eastAsia="方正楷体_GBK" w:cs="Times New Roman"/>
          <w:b/>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38" w:name="_Toc531594765"/>
      <w:bookmarkStart w:id="139" w:name="_Toc325636614"/>
      <w:bookmarkStart w:id="140" w:name="_Toc200513161"/>
      <w:bookmarkStart w:id="141" w:name="_Toc16186"/>
      <w:bookmarkStart w:id="142" w:name="_Toc317863456"/>
      <w:bookmarkStart w:id="143" w:name="_Toc334774197"/>
      <w:r>
        <w:rPr>
          <w:rFonts w:ascii="Times New Roman" w:hAnsi="Times New Roman" w:eastAsia="方正仿宋_GBK" w:cs="Times New Roman"/>
          <w:b/>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6.1.2.4 曾因在招标、评标以及其他与招标投标有关活动中从事违法行为而受过行政处罚或刑事处罚的。</w:t>
      </w:r>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531594766"/>
      <w:bookmarkStart w:id="145" w:name="_Toc200513162"/>
      <w:bookmarkStart w:id="146" w:name="_Toc317863457"/>
      <w:bookmarkStart w:id="147" w:name="_Toc325636615"/>
      <w:bookmarkStart w:id="148" w:name="_Toc334774198"/>
      <w:bookmarkStart w:id="149" w:name="_Toc18631"/>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34774200"/>
      <w:bookmarkStart w:id="151" w:name="_Toc531594767"/>
      <w:bookmarkStart w:id="152" w:name="_Toc5106"/>
      <w:bookmarkStart w:id="153" w:name="_Toc317863459"/>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531594768"/>
      <w:bookmarkStart w:id="155" w:name="_Toc325636618"/>
      <w:bookmarkStart w:id="156" w:name="_Toc334774201"/>
      <w:bookmarkStart w:id="157" w:name="_Toc317863460"/>
      <w:bookmarkStart w:id="158" w:name="_Toc200513165"/>
      <w:bookmarkStart w:id="159" w:name="_Toc22299"/>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19729"/>
      <w:bookmarkStart w:id="161" w:name="_Toc531594769"/>
      <w:bookmarkStart w:id="162" w:name="_Toc334774202"/>
      <w:bookmarkStart w:id="163" w:name="_Toc317863461"/>
      <w:bookmarkStart w:id="164" w:name="_Toc200513166"/>
      <w:bookmarkStart w:id="165" w:name="_Toc325636619"/>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325636621"/>
      <w:bookmarkStart w:id="167" w:name="_Toc317863463"/>
      <w:bookmarkStart w:id="168" w:name="_Toc334774203"/>
      <w:bookmarkStart w:id="169" w:name="_Toc9808"/>
      <w:bookmarkStart w:id="170" w:name="_Toc531594770"/>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kern w:val="0"/>
          <w:sz w:val="21"/>
          <w:szCs w:val="21"/>
          <w:highlight w:val="none"/>
        </w:rPr>
        <w:t>人有权终止合同，并没收其投标保证金及履约保证金。</w:t>
      </w:r>
    </w:p>
    <w:p w14:paraId="3967EBB4">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71" w:name="_Toc531594771"/>
      <w:bookmarkStart w:id="172" w:name="_Toc15584"/>
      <w:bookmarkStart w:id="173" w:name="_Toc334774204"/>
      <w:bookmarkStart w:id="174" w:name="_Toc317863464"/>
      <w:r>
        <w:rPr>
          <w:rFonts w:ascii="Times New Roman" w:hAnsi="Times New Roman" w:eastAsia="方正楷体_GBK" w:cs="Times New Roman"/>
          <w:b/>
          <w:w w:val="99"/>
          <w:kern w:val="0"/>
          <w:sz w:val="21"/>
          <w:szCs w:val="21"/>
          <w:highlight w:val="none"/>
          <w:lang w:val="zh-CN"/>
        </w:rPr>
        <w:t>8.重新招标和不再招标</w:t>
      </w:r>
      <w:bookmarkEnd w:id="171"/>
      <w:bookmarkEnd w:id="172"/>
      <w:bookmarkEnd w:id="173"/>
      <w:bookmarkEnd w:id="174"/>
    </w:p>
    <w:p w14:paraId="628D08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kern w:val="0"/>
          <w:sz w:val="21"/>
          <w:szCs w:val="21"/>
          <w:highlight w:val="none"/>
        </w:rPr>
      </w:pPr>
      <w:bookmarkStart w:id="175" w:name="_Toc334774207"/>
      <w:bookmarkStart w:id="176" w:name="_Toc11895"/>
      <w:bookmarkStart w:id="177" w:name="_Toc200513172"/>
      <w:bookmarkStart w:id="178" w:name="_Toc317863467"/>
      <w:bookmarkStart w:id="179" w:name="_Toc531594773"/>
      <w:r>
        <w:rPr>
          <w:rFonts w:hint="eastAsia" w:ascii="Times New Roman" w:hAnsi="Times New Roman" w:eastAsia="方正仿宋_GBK" w:cs="Times New Roman"/>
          <w:b/>
          <w:kern w:val="0"/>
          <w:sz w:val="21"/>
          <w:szCs w:val="21"/>
          <w:highlight w:val="none"/>
        </w:rPr>
        <w:t>8.1 重新招标</w:t>
      </w:r>
    </w:p>
    <w:p w14:paraId="2EB034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kern w:val="0"/>
          <w:sz w:val="21"/>
          <w:szCs w:val="21"/>
          <w:highlight w:val="none"/>
        </w:rPr>
      </w:pPr>
      <w:r>
        <w:rPr>
          <w:rFonts w:hint="eastAsia" w:ascii="Times New Roman" w:hAnsi="Times New Roman" w:eastAsia="方正仿宋_GBK" w:cs="Times New Roman"/>
          <w:b w:val="0"/>
          <w:bCs/>
          <w:kern w:val="0"/>
          <w:sz w:val="21"/>
          <w:szCs w:val="21"/>
          <w:highlight w:val="none"/>
        </w:rPr>
        <w:t>有下列情形之一的，招标人将重新招标</w:t>
      </w:r>
    </w:p>
    <w:p w14:paraId="03C723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kern w:val="0"/>
          <w:sz w:val="21"/>
          <w:szCs w:val="21"/>
          <w:highlight w:val="none"/>
        </w:rPr>
      </w:pPr>
      <w:r>
        <w:rPr>
          <w:rFonts w:hint="eastAsia" w:ascii="Times New Roman" w:hAnsi="Times New Roman" w:eastAsia="方正仿宋_GBK" w:cs="Times New Roman"/>
          <w:b w:val="0"/>
          <w:bCs/>
          <w:kern w:val="0"/>
          <w:sz w:val="21"/>
          <w:szCs w:val="21"/>
          <w:highlight w:val="none"/>
        </w:rPr>
        <w:t>（1）投标截止时间止，投标人少于三个的；</w:t>
      </w:r>
    </w:p>
    <w:p w14:paraId="38383F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kern w:val="0"/>
          <w:sz w:val="21"/>
          <w:szCs w:val="21"/>
          <w:highlight w:val="none"/>
        </w:rPr>
      </w:pPr>
      <w:r>
        <w:rPr>
          <w:rFonts w:hint="eastAsia" w:ascii="Times New Roman" w:hAnsi="Times New Roman" w:eastAsia="方正仿宋_GBK" w:cs="Times New Roman"/>
          <w:b w:val="0"/>
          <w:bCs/>
          <w:kern w:val="0"/>
          <w:sz w:val="21"/>
          <w:szCs w:val="21"/>
          <w:highlight w:val="none"/>
        </w:rPr>
        <w:t>（2）评标后合格的投标人少于三个的。</w:t>
      </w:r>
    </w:p>
    <w:p w14:paraId="61D0E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kern w:val="0"/>
          <w:sz w:val="21"/>
          <w:szCs w:val="21"/>
          <w:highlight w:val="none"/>
        </w:rPr>
      </w:pPr>
      <w:r>
        <w:rPr>
          <w:rFonts w:hint="eastAsia" w:ascii="Times New Roman" w:hAnsi="Times New Roman" w:eastAsia="方正仿宋_GBK" w:cs="Times New Roman"/>
          <w:b/>
          <w:kern w:val="0"/>
          <w:sz w:val="21"/>
          <w:szCs w:val="21"/>
          <w:highlight w:val="none"/>
        </w:rPr>
        <w:t>8.2 不再招标</w:t>
      </w:r>
    </w:p>
    <w:p w14:paraId="0C0D94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kern w:val="0"/>
          <w:sz w:val="21"/>
          <w:szCs w:val="21"/>
          <w:highlight w:val="none"/>
        </w:rPr>
      </w:pPr>
      <w:r>
        <w:rPr>
          <w:rFonts w:hint="eastAsia" w:ascii="Times New Roman" w:hAnsi="Times New Roman" w:eastAsia="方正仿宋_GBK" w:cs="Times New Roman"/>
          <w:b w:val="0"/>
          <w:bCs/>
          <w:kern w:val="0"/>
          <w:sz w:val="21"/>
          <w:szCs w:val="21"/>
          <w:highlight w:val="none"/>
        </w:rPr>
        <w:t>若调整采购需求重新招标仍然失败的，可以采用竞争性谈判或单一来源的方式执行本项目。</w:t>
      </w:r>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9.纪律和监督</w:t>
      </w:r>
      <w:bookmarkEnd w:id="175"/>
      <w:bookmarkEnd w:id="176"/>
      <w:bookmarkEnd w:id="177"/>
      <w:bookmarkEnd w:id="178"/>
      <w:bookmarkEnd w:id="179"/>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kern w:val="0"/>
          <w:sz w:val="21"/>
          <w:szCs w:val="21"/>
          <w:highlight w:val="none"/>
        </w:rPr>
      </w:pPr>
      <w:bookmarkStart w:id="180" w:name="_Toc325636626"/>
      <w:bookmarkStart w:id="181" w:name="_Toc334774208"/>
      <w:bookmarkStart w:id="182" w:name="_Toc1463"/>
      <w:bookmarkStart w:id="183" w:name="_Toc200513173"/>
      <w:bookmarkStart w:id="184" w:name="_Toc317863468"/>
      <w:bookmarkStart w:id="185" w:name="_Toc531594774"/>
      <w:r>
        <w:rPr>
          <w:rFonts w:ascii="Times New Roman" w:hAnsi="Times New Roman" w:eastAsia="方正仿宋_GBK" w:cs="Times New Roman"/>
          <w:b/>
          <w:kern w:val="0"/>
          <w:sz w:val="21"/>
          <w:szCs w:val="21"/>
          <w:highlight w:val="none"/>
        </w:rPr>
        <w:t>9.1 对招标人的纪律要求</w:t>
      </w:r>
      <w:bookmarkEnd w:id="180"/>
      <w:bookmarkEnd w:id="181"/>
      <w:bookmarkEnd w:id="182"/>
      <w:bookmarkEnd w:id="183"/>
      <w:bookmarkEnd w:id="184"/>
      <w:bookmarkEnd w:id="185"/>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86" w:name="_Toc200513174"/>
      <w:bookmarkStart w:id="187" w:name="_Toc325636627"/>
      <w:bookmarkStart w:id="188" w:name="_Toc334774209"/>
      <w:bookmarkStart w:id="189" w:name="_Toc270"/>
      <w:bookmarkStart w:id="190" w:name="_Toc317863469"/>
      <w:bookmarkStart w:id="191" w:name="_Toc531594775"/>
      <w:r>
        <w:rPr>
          <w:rFonts w:ascii="Times New Roman" w:hAnsi="Times New Roman" w:eastAsia="方正仿宋_GBK" w:cs="Times New Roman"/>
          <w:b/>
          <w:kern w:val="0"/>
          <w:sz w:val="21"/>
          <w:szCs w:val="21"/>
          <w:highlight w:val="none"/>
        </w:rPr>
        <w:t>9.2 对投标人的纪律要求</w:t>
      </w:r>
      <w:bookmarkEnd w:id="186"/>
      <w:bookmarkEnd w:id="187"/>
      <w:bookmarkEnd w:id="188"/>
      <w:bookmarkEnd w:id="189"/>
      <w:bookmarkEnd w:id="190"/>
      <w:bookmarkEnd w:id="191"/>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2" w:name="_Toc200513175"/>
      <w:bookmarkStart w:id="193" w:name="_Toc531594776"/>
      <w:bookmarkStart w:id="194" w:name="_Toc325636628"/>
      <w:bookmarkStart w:id="195" w:name="_Toc317863470"/>
      <w:bookmarkStart w:id="196" w:name="_Toc334774210"/>
      <w:bookmarkStart w:id="197" w:name="_Toc23543"/>
      <w:r>
        <w:rPr>
          <w:rFonts w:ascii="Times New Roman" w:hAnsi="Times New Roman" w:eastAsia="方正仿宋_GBK" w:cs="Times New Roman"/>
          <w:b/>
          <w:kern w:val="0"/>
          <w:sz w:val="21"/>
          <w:szCs w:val="21"/>
          <w:highlight w:val="none"/>
        </w:rPr>
        <w:t>9.3 对评标委员会成员的纪律要求</w:t>
      </w:r>
      <w:bookmarkEnd w:id="192"/>
      <w:bookmarkEnd w:id="193"/>
      <w:bookmarkEnd w:id="194"/>
      <w:bookmarkEnd w:id="195"/>
      <w:bookmarkEnd w:id="196"/>
      <w:bookmarkEnd w:id="197"/>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8" w:name="_Toc13285"/>
      <w:bookmarkStart w:id="199" w:name="_Toc18783"/>
      <w:bookmarkStart w:id="200" w:name="_Toc325636629"/>
      <w:bookmarkStart w:id="201" w:name="_Toc531594777"/>
      <w:bookmarkStart w:id="202" w:name="_Toc317863471"/>
      <w:bookmarkStart w:id="203" w:name="_Toc200513176"/>
      <w:bookmarkStart w:id="204" w:name="_Toc334774211"/>
      <w:r>
        <w:rPr>
          <w:rFonts w:ascii="Times New Roman" w:hAnsi="Times New Roman" w:eastAsia="方正仿宋_GBK" w:cs="Times New Roman"/>
          <w:b/>
          <w:kern w:val="0"/>
          <w:sz w:val="21"/>
          <w:szCs w:val="21"/>
          <w:highlight w:val="none"/>
        </w:rPr>
        <w:t>9.4 对与评标活动有关的工作人员的纪律要求</w:t>
      </w:r>
      <w:bookmarkEnd w:id="198"/>
      <w:bookmarkEnd w:id="199"/>
      <w:bookmarkEnd w:id="200"/>
      <w:bookmarkEnd w:id="201"/>
      <w:bookmarkEnd w:id="202"/>
      <w:bookmarkEnd w:id="203"/>
      <w:bookmarkEnd w:id="204"/>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334774212"/>
      <w:bookmarkStart w:id="206" w:name="_Toc13124"/>
      <w:bookmarkStart w:id="207" w:name="_Toc200513177"/>
      <w:bookmarkStart w:id="208" w:name="_Toc317863472"/>
      <w:bookmarkStart w:id="209" w:name="_Toc325636630"/>
      <w:bookmarkStart w:id="210" w:name="_Toc17360"/>
      <w:bookmarkStart w:id="211" w:name="_Toc531594778"/>
      <w:r>
        <w:rPr>
          <w:rFonts w:ascii="Times New Roman" w:hAnsi="Times New Roman" w:eastAsia="方正仿宋_GBK" w:cs="Times New Roman"/>
          <w:b/>
          <w:kern w:val="0"/>
          <w:sz w:val="21"/>
          <w:szCs w:val="21"/>
          <w:highlight w:val="none"/>
        </w:rPr>
        <w:t>9.5 投诉</w:t>
      </w:r>
      <w:bookmarkEnd w:id="205"/>
      <w:bookmarkEnd w:id="206"/>
      <w:bookmarkEnd w:id="207"/>
      <w:bookmarkEnd w:id="208"/>
      <w:bookmarkEnd w:id="209"/>
      <w:bookmarkEnd w:id="210"/>
      <w:bookmarkEnd w:id="211"/>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2" w:name="_Toc14201"/>
      <w:bookmarkStart w:id="213" w:name="_Toc334774213"/>
      <w:bookmarkStart w:id="214" w:name="_Toc531594779"/>
      <w:bookmarkStart w:id="215" w:name="_Toc6107"/>
      <w:r>
        <w:rPr>
          <w:rFonts w:ascii="Times New Roman" w:hAnsi="Times New Roman" w:eastAsia="方正楷体_GBK" w:cs="Times New Roman"/>
          <w:b/>
          <w:w w:val="99"/>
          <w:kern w:val="0"/>
          <w:sz w:val="21"/>
          <w:szCs w:val="21"/>
          <w:highlight w:val="none"/>
          <w:lang w:val="zh-CN"/>
        </w:rPr>
        <w:t>10.其他</w:t>
      </w:r>
      <w:bookmarkEnd w:id="212"/>
      <w:bookmarkEnd w:id="213"/>
      <w:bookmarkEnd w:id="214"/>
      <w:bookmarkEnd w:id="215"/>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其他补充内容要求见投标人</w:t>
      </w:r>
      <w:r>
        <w:rPr>
          <w:rFonts w:hint="eastAsia" w:ascii="Times New Roman" w:hAnsi="Times New Roman" w:eastAsia="方正仿宋_GBK" w:cs="Times New Roman"/>
          <w:kern w:val="0"/>
          <w:sz w:val="21"/>
          <w:szCs w:val="21"/>
          <w:highlight w:val="none"/>
          <w:lang w:val="en-US" w:eastAsia="zh-CN"/>
        </w:rPr>
        <w:t>须</w:t>
      </w:r>
      <w:r>
        <w:rPr>
          <w:rFonts w:ascii="Times New Roman" w:hAnsi="Times New Roman" w:eastAsia="方正仿宋_GBK" w:cs="Times New Roman"/>
          <w:kern w:val="0"/>
          <w:sz w:val="21"/>
          <w:szCs w:val="21"/>
          <w:highlight w:val="none"/>
        </w:rPr>
        <w:t>知内容和前附表。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16" w:name="_Toc10725332"/>
      <w:bookmarkStart w:id="217" w:name="_第三章 招标数量及参数要求"/>
      <w:r>
        <w:rPr>
          <w:rFonts w:hint="default" w:ascii="Times New Roman" w:hAnsi="Times New Roman" w:eastAsia="方正小标宋_GBK" w:cs="Times New Roman"/>
        </w:rPr>
        <w:t>第三章 招标数量及参数要求</w:t>
      </w:r>
      <w:bookmarkEnd w:id="216"/>
    </w:p>
    <w:bookmarkEnd w:id="217"/>
    <w:p w14:paraId="5C707FB5"/>
    <w:p w14:paraId="2CB98FE0">
      <w:pPr>
        <w:widowControl/>
        <w:numPr>
          <w:ilvl w:val="0"/>
          <w:numId w:val="12"/>
        </w:numPr>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项目要求：</w:t>
      </w:r>
      <w:r>
        <w:rPr>
          <w:rFonts w:hint="eastAsia" w:ascii="Times New Roman" w:hAnsi="Times New Roman" w:eastAsia="方正黑体_GBK" w:cs="Times New Roman"/>
          <w:b w:val="0"/>
          <w:bCs/>
          <w:sz w:val="32"/>
          <w:szCs w:val="32"/>
          <w:lang w:eastAsia="zh-CN"/>
        </w:rPr>
        <w:t>本项目为带方案招标，投标人需要准备方案及建设等相关内容进行投标。</w:t>
      </w:r>
    </w:p>
    <w:p w14:paraId="5FE98D65">
      <w:pPr>
        <w:widowControl/>
        <w:numPr>
          <w:ilvl w:val="0"/>
          <w:numId w:val="12"/>
        </w:numPr>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功能内容</w:t>
      </w:r>
    </w:p>
    <w:tbl>
      <w:tblPr>
        <w:tblStyle w:val="42"/>
        <w:tblW w:w="8633" w:type="dxa"/>
        <w:jc w:val="center"/>
        <w:tblLayout w:type="autofit"/>
        <w:tblCellMar>
          <w:top w:w="0" w:type="dxa"/>
          <w:left w:w="108" w:type="dxa"/>
          <w:bottom w:w="0" w:type="dxa"/>
          <w:right w:w="108" w:type="dxa"/>
        </w:tblCellMar>
      </w:tblPr>
      <w:tblGrid>
        <w:gridCol w:w="1709"/>
        <w:gridCol w:w="6924"/>
      </w:tblGrid>
      <w:tr w14:paraId="4423C789">
        <w:tblPrEx>
          <w:tblCellMar>
            <w:top w:w="0" w:type="dxa"/>
            <w:left w:w="108" w:type="dxa"/>
            <w:bottom w:w="0" w:type="dxa"/>
            <w:right w:w="108" w:type="dxa"/>
          </w:tblCellMar>
        </w:tblPrEx>
        <w:trPr>
          <w:trHeight w:val="0" w:hRule="atLeast"/>
          <w:tblHeader/>
          <w:jc w:val="center"/>
        </w:trPr>
        <w:tc>
          <w:tcPr>
            <w:tcW w:w="1709" w:type="dxa"/>
            <w:tcBorders>
              <w:top w:val="single" w:color="000000" w:sz="4" w:space="0"/>
              <w:left w:val="single" w:color="000000" w:sz="4" w:space="0"/>
              <w:bottom w:val="single" w:color="auto" w:sz="4" w:space="0"/>
              <w:right w:val="single" w:color="000000" w:sz="4" w:space="0"/>
            </w:tcBorders>
            <w:shd w:val="clear" w:color="auto" w:fill="auto"/>
            <w:vAlign w:val="center"/>
          </w:tcPr>
          <w:p w14:paraId="70550A83">
            <w:pPr>
              <w:widowControl/>
              <w:snapToGrid w:val="0"/>
              <w:ind w:left="0" w:leftChars="0" w:right="0" w:rightChars="0" w:firstLine="0" w:firstLineChars="0"/>
              <w:jc w:val="center"/>
              <w:textAlignment w:val="center"/>
              <w:rPr>
                <w:rFonts w:ascii="方正楷体_GBK" w:hAnsi="方正楷体_GBK" w:eastAsia="方正楷体_GBK" w:cs="方正楷体_GBK"/>
                <w:b/>
                <w:color w:val="000000" w:themeColor="text1"/>
                <w:szCs w:val="24"/>
              </w:rPr>
            </w:pPr>
            <w:r>
              <w:rPr>
                <w:rFonts w:hint="eastAsia" w:ascii="方正楷体_GBK" w:hAnsi="方正楷体_GBK" w:eastAsia="方正楷体_GBK" w:cs="方正楷体_GBK"/>
                <w:b/>
                <w:color w:val="000000" w:themeColor="text1"/>
                <w:kern w:val="0"/>
                <w:szCs w:val="24"/>
                <w:lang w:bidi="ar"/>
              </w:rPr>
              <w:t>名称</w:t>
            </w:r>
          </w:p>
        </w:tc>
        <w:tc>
          <w:tcPr>
            <w:tcW w:w="6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4080">
            <w:pPr>
              <w:widowControl/>
              <w:snapToGrid w:val="0"/>
              <w:ind w:left="0" w:leftChars="0" w:right="0" w:rightChars="0" w:firstLine="0" w:firstLineChars="0"/>
              <w:jc w:val="center"/>
              <w:textAlignment w:val="center"/>
              <w:rPr>
                <w:rFonts w:ascii="方正楷体_GBK" w:hAnsi="方正楷体_GBK" w:eastAsia="方正楷体_GBK" w:cs="方正楷体_GBK"/>
                <w:b/>
                <w:color w:val="000000" w:themeColor="text1"/>
                <w:szCs w:val="24"/>
              </w:rPr>
            </w:pPr>
            <w:r>
              <w:rPr>
                <w:rFonts w:hint="eastAsia" w:ascii="方正楷体_GBK" w:hAnsi="方正楷体_GBK" w:eastAsia="方正楷体_GBK" w:cs="方正楷体_GBK"/>
                <w:b/>
                <w:color w:val="000000" w:themeColor="text1"/>
                <w:kern w:val="0"/>
                <w:szCs w:val="24"/>
                <w:lang w:eastAsia="zh-CN" w:bidi="ar"/>
              </w:rPr>
              <w:t>功能</w:t>
            </w:r>
            <w:r>
              <w:rPr>
                <w:rFonts w:hint="eastAsia" w:ascii="方正楷体_GBK" w:hAnsi="方正楷体_GBK" w:eastAsia="方正楷体_GBK" w:cs="方正楷体_GBK"/>
                <w:b/>
                <w:color w:val="000000" w:themeColor="text1"/>
                <w:kern w:val="0"/>
                <w:szCs w:val="24"/>
                <w:lang w:bidi="ar"/>
              </w:rPr>
              <w:t>参数</w:t>
            </w:r>
          </w:p>
        </w:tc>
      </w:tr>
      <w:tr w14:paraId="1DEF4531">
        <w:tblPrEx>
          <w:tblCellMar>
            <w:top w:w="0" w:type="dxa"/>
            <w:left w:w="108" w:type="dxa"/>
            <w:bottom w:w="0" w:type="dxa"/>
            <w:right w:w="108" w:type="dxa"/>
          </w:tblCellMar>
        </w:tblPrEx>
        <w:trPr>
          <w:trHeight w:val="0" w:hRule="atLeast"/>
          <w:jc w:val="center"/>
        </w:trPr>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14:paraId="4DCFC44D">
            <w:pPr>
              <w:widowControl/>
              <w:snapToGrid w:val="0"/>
              <w:ind w:left="0" w:leftChars="0" w:right="0" w:rightChars="0" w:firstLine="0" w:firstLineChars="0"/>
              <w:jc w:val="center"/>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综合演播</w:t>
            </w:r>
          </w:p>
          <w:p w14:paraId="2BAAA066">
            <w:pPr>
              <w:widowControl/>
              <w:snapToGrid w:val="0"/>
              <w:ind w:left="0" w:leftChars="0" w:right="0" w:rightChars="0" w:firstLine="0" w:firstLineChars="0"/>
              <w:jc w:val="center"/>
              <w:textAlignment w:val="center"/>
              <w:rPr>
                <w:rFonts w:ascii="方正楷体_GBK" w:hAnsi="方正楷体_GBK" w:eastAsia="方正楷体_GBK" w:cs="方正楷体_GBK"/>
                <w:color w:val="000000" w:themeColor="text1"/>
                <w:szCs w:val="24"/>
              </w:rPr>
            </w:pPr>
            <w:r>
              <w:rPr>
                <w:rFonts w:hint="eastAsia" w:ascii="方正楷体_GBK" w:hAnsi="方正楷体_GBK" w:eastAsia="方正楷体_GBK" w:cs="方正楷体_GBK"/>
                <w:color w:val="000000"/>
                <w:kern w:val="0"/>
                <w:szCs w:val="24"/>
                <w:lang w:bidi="ar"/>
              </w:rPr>
              <w:t>实训室</w:t>
            </w:r>
          </w:p>
        </w:tc>
        <w:tc>
          <w:tcPr>
            <w:tcW w:w="6924" w:type="dxa"/>
            <w:tcBorders>
              <w:top w:val="single" w:color="000000" w:sz="4" w:space="0"/>
              <w:left w:val="single" w:color="auto" w:sz="4" w:space="0"/>
              <w:bottom w:val="single" w:color="000000" w:sz="4" w:space="0"/>
              <w:right w:val="single" w:color="000000" w:sz="4" w:space="0"/>
            </w:tcBorders>
            <w:shd w:val="clear" w:color="auto" w:fill="auto"/>
            <w:vAlign w:val="center"/>
          </w:tcPr>
          <w:p w14:paraId="31081A18">
            <w:pPr>
              <w:widowControl/>
              <w:numPr>
                <w:ilvl w:val="0"/>
                <w:numId w:val="13"/>
              </w:numPr>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核心功能目标：</w:t>
            </w:r>
          </w:p>
          <w:p w14:paraId="1CABD81C">
            <w:pPr>
              <w:widowControl/>
              <w:numPr>
                <w:ilvl w:val="0"/>
                <w:numId w:val="0"/>
              </w:numPr>
              <w:snapToGrid w:val="0"/>
              <w:ind w:right="0" w:right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满足《新闻节目与播音主持》《采访报道综合实训》《新闻采访与评论》《广播电视节目主持实训》《电商主播技巧》等课程实训需求，支撑“重财播报”“新媒体直播带货团队”等产教融合项目落地，提升学生实践能力与创新创业竞争力。</w:t>
            </w:r>
          </w:p>
          <w:p w14:paraId="007CA380">
            <w:pPr>
              <w:widowControl/>
              <w:snapToGrid w:val="0"/>
              <w:ind w:left="0" w:leftChars="0" w:right="0" w:rightChars="0" w:firstLine="0" w:firstLineChars="0"/>
              <w:jc w:val="left"/>
              <w:textAlignment w:val="center"/>
              <w:rPr>
                <w:rFonts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2. 具体功能指标：</w:t>
            </w:r>
          </w:p>
          <w:p w14:paraId="7E9AB34C">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（1）搭建符合广播电视行业标准的声学装修，配备可调节专业灯光系统，满足新闻播报、访谈、节目录制等多场景实训的声学与布光需求。</w:t>
            </w:r>
          </w:p>
          <w:p w14:paraId="53098F58">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（2）搭建专业直播导播系统，支持多机位切换、实时推流、弹幕互动与数据监测，模拟真实直播场景。</w:t>
            </w:r>
          </w:p>
          <w:p w14:paraId="0B75DCD7">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（3）搭载实训教学管理系统，支持实训过程实时监看、录制回放、师生互动点评，可对学生播音状态、镜头表现力等进行多维度记录与评估，满足课程过程性考核需求。</w:t>
            </w:r>
          </w:p>
          <w:p w14:paraId="1264CD10">
            <w:pPr>
              <w:widowControl/>
              <w:snapToGrid w:val="0"/>
              <w:ind w:left="0" w:leftChars="0" w:right="0" w:rightChars="0" w:firstLine="0" w:firstLineChars="0"/>
              <w:jc w:val="left"/>
              <w:textAlignment w:val="center"/>
              <w:rPr>
                <w:rFonts w:ascii="方正楷体_GBK" w:hAnsi="方正楷体_GBK" w:eastAsia="方正楷体_GBK" w:cs="方正楷体_GBK"/>
                <w:color w:val="000000" w:themeColor="text1"/>
                <w:kern w:val="0"/>
                <w:szCs w:val="24"/>
              </w:rPr>
            </w:pPr>
            <w:r>
              <w:rPr>
                <w:rFonts w:hint="eastAsia" w:ascii="方正楷体_GBK" w:hAnsi="方正楷体_GBK" w:eastAsia="方正楷体_GBK" w:cs="方正楷体_GBK"/>
                <w:color w:val="000000"/>
                <w:kern w:val="0"/>
                <w:szCs w:val="24"/>
                <w:lang w:bidi="ar"/>
              </w:rPr>
              <w:t>（4）可同时容纳2组同学同步进行节目录制、直播实操，年度实训覆盖学生规模提升至近 1000 人次。</w:t>
            </w:r>
          </w:p>
        </w:tc>
      </w:tr>
      <w:tr w14:paraId="70A435A6">
        <w:tblPrEx>
          <w:tblCellMar>
            <w:top w:w="0" w:type="dxa"/>
            <w:left w:w="108" w:type="dxa"/>
            <w:bottom w:w="0" w:type="dxa"/>
            <w:right w:w="108" w:type="dxa"/>
          </w:tblCellMar>
        </w:tblPrEx>
        <w:trPr>
          <w:trHeight w:val="0" w:hRule="atLeast"/>
          <w:jc w:val="center"/>
        </w:trPr>
        <w:tc>
          <w:tcPr>
            <w:tcW w:w="1709" w:type="dxa"/>
            <w:tcBorders>
              <w:top w:val="single" w:color="auto" w:sz="4" w:space="0"/>
              <w:left w:val="single" w:color="000000" w:sz="4" w:space="0"/>
              <w:bottom w:val="single" w:color="000000" w:sz="4" w:space="0"/>
              <w:right w:val="single" w:color="000000" w:sz="4" w:space="0"/>
            </w:tcBorders>
            <w:shd w:val="clear" w:color="auto" w:fill="auto"/>
            <w:vAlign w:val="center"/>
          </w:tcPr>
          <w:p w14:paraId="5A17D549">
            <w:pPr>
              <w:widowControl/>
              <w:snapToGrid w:val="0"/>
              <w:ind w:left="0" w:leftChars="0" w:right="0" w:rightChars="0" w:firstLine="0" w:firstLineChars="0"/>
              <w:jc w:val="center"/>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配音艺术</w:t>
            </w:r>
          </w:p>
          <w:p w14:paraId="7F3E2CC2">
            <w:pPr>
              <w:widowControl/>
              <w:snapToGrid w:val="0"/>
              <w:ind w:left="0" w:leftChars="0" w:right="0" w:rightChars="0" w:firstLine="0" w:firstLineChars="0"/>
              <w:jc w:val="center"/>
              <w:textAlignment w:val="center"/>
              <w:rPr>
                <w:rFonts w:ascii="方正楷体_GBK" w:hAnsi="方正楷体_GBK" w:eastAsia="方正楷体_GBK" w:cs="方正楷体_GBK"/>
                <w:color w:val="000000" w:themeColor="text1"/>
                <w:kern w:val="0"/>
                <w:szCs w:val="24"/>
                <w:lang w:bidi="ar"/>
              </w:rPr>
            </w:pPr>
            <w:r>
              <w:rPr>
                <w:rFonts w:hint="eastAsia" w:ascii="方正楷体_GBK" w:hAnsi="方正楷体_GBK" w:eastAsia="方正楷体_GBK" w:cs="方正楷体_GBK"/>
                <w:color w:val="000000"/>
                <w:kern w:val="0"/>
                <w:szCs w:val="24"/>
                <w:lang w:bidi="ar"/>
              </w:rPr>
              <w:t>实训室</w:t>
            </w:r>
          </w:p>
        </w:tc>
        <w:tc>
          <w:tcPr>
            <w:tcW w:w="6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0504">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eastAsia="zh-CN" w:bidi="ar"/>
              </w:rPr>
            </w:pPr>
            <w:r>
              <w:rPr>
                <w:rFonts w:hint="eastAsia" w:ascii="方正楷体_GBK" w:hAnsi="方正楷体_GBK" w:eastAsia="方正楷体_GBK" w:cs="方正楷体_GBK"/>
                <w:color w:val="000000"/>
                <w:kern w:val="0"/>
                <w:szCs w:val="24"/>
                <w:lang w:bidi="ar"/>
              </w:rPr>
              <w:t>1. 核心功能目标</w:t>
            </w:r>
            <w:r>
              <w:rPr>
                <w:rFonts w:hint="eastAsia" w:ascii="方正楷体_GBK" w:hAnsi="方正楷体_GBK" w:eastAsia="方正楷体_GBK" w:cs="方正楷体_GBK"/>
                <w:color w:val="000000"/>
                <w:kern w:val="0"/>
                <w:szCs w:val="24"/>
                <w:lang w:eastAsia="zh-CN" w:bidi="ar"/>
              </w:rPr>
              <w:t>：</w:t>
            </w:r>
          </w:p>
          <w:p w14:paraId="423447CC">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建设一个符合行业标准的配音艺术实训室，满足播音与主持艺术专业及相关课程，如《配音艺术》、《配音艺术实训》、《声乐基础》、《在线音频节目创作》、《新媒体主播技巧》等课程的实操教学需求。</w:t>
            </w:r>
          </w:p>
          <w:p w14:paraId="2FA470E9">
            <w:pPr>
              <w:widowControl/>
              <w:snapToGrid w:val="0"/>
              <w:ind w:left="0" w:leftChars="0" w:right="0" w:rightChars="0" w:firstLine="0" w:firstLineChars="0"/>
              <w:jc w:val="left"/>
              <w:textAlignment w:val="center"/>
              <w:rPr>
                <w:rFonts w:hint="eastAsia" w:ascii="方正楷体_GBK" w:hAnsi="方正楷体_GBK" w:eastAsia="方正楷体_GBK" w:cs="方正楷体_GBK"/>
                <w:color w:val="000000"/>
                <w:kern w:val="0"/>
                <w:szCs w:val="24"/>
                <w:lang w:eastAsia="zh-CN" w:bidi="ar"/>
              </w:rPr>
            </w:pPr>
            <w:r>
              <w:rPr>
                <w:rFonts w:hint="eastAsia" w:ascii="方正楷体_GBK" w:hAnsi="方正楷体_GBK" w:eastAsia="方正楷体_GBK" w:cs="方正楷体_GBK"/>
                <w:color w:val="000000"/>
                <w:kern w:val="0"/>
                <w:szCs w:val="24"/>
                <w:lang w:bidi="ar"/>
              </w:rPr>
              <w:t>2. 具体功能指标</w:t>
            </w:r>
            <w:r>
              <w:rPr>
                <w:rFonts w:hint="eastAsia" w:ascii="方正楷体_GBK" w:hAnsi="方正楷体_GBK" w:eastAsia="方正楷体_GBK" w:cs="方正楷体_GBK"/>
                <w:color w:val="000000"/>
                <w:kern w:val="0"/>
                <w:szCs w:val="24"/>
                <w:lang w:eastAsia="zh-CN" w:bidi="ar"/>
              </w:rPr>
              <w:t>：</w:t>
            </w:r>
          </w:p>
          <w:p w14:paraId="10D5B187">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（1）支持多人同期配音的信号处理、分层混音教学。</w:t>
            </w:r>
          </w:p>
          <w:p w14:paraId="7768CC8A">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（2）具备复杂音效的精细调节及多轨录音功能。</w:t>
            </w:r>
          </w:p>
          <w:p w14:paraId="2AE27FB9">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（3）能够精准捕捉人声高频细节和低频共鸣，满足 “人声质感塑造” 教学。</w:t>
            </w:r>
          </w:p>
          <w:p w14:paraId="683E2286">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（4）提供精准的声场定位与细节层次还原，达到行业 “监听零误差” 标准。</w:t>
            </w:r>
          </w:p>
          <w:p w14:paraId="2EBBC292">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（5）模拟行业真实工作场景，支持学生进行多轨混音、人声降噪、监听校准等核心操作。</w:t>
            </w:r>
          </w:p>
          <w:p w14:paraId="086F51F9">
            <w:pPr>
              <w:snapToGrid w:val="0"/>
              <w:ind w:left="0" w:leftChars="0" w:right="0" w:rightChars="0" w:firstLine="0" w:firstLineChars="0"/>
              <w:jc w:val="left"/>
              <w:rPr>
                <w:rFonts w:hint="eastAsia" w:ascii="方正楷体_GBK" w:hAnsi="方正楷体_GBK" w:eastAsia="方正楷体_GBK" w:cs="方正楷体_GBK"/>
                <w:color w:val="000000"/>
                <w:kern w:val="0"/>
                <w:szCs w:val="24"/>
                <w:lang w:bidi="ar"/>
              </w:rPr>
            </w:pPr>
            <w:r>
              <w:rPr>
                <w:rFonts w:hint="eastAsia" w:ascii="方正楷体_GBK" w:hAnsi="方正楷体_GBK" w:eastAsia="方正楷体_GBK" w:cs="方正楷体_GBK"/>
                <w:color w:val="000000"/>
                <w:kern w:val="0"/>
                <w:szCs w:val="24"/>
                <w:lang w:bidi="ar"/>
              </w:rPr>
              <w:t>（6）支持原创音乐制作、影视配音、声乐训练等多领域实践教学。</w:t>
            </w:r>
          </w:p>
          <w:p w14:paraId="08C9C6AF">
            <w:pPr>
              <w:snapToGrid w:val="0"/>
              <w:ind w:left="0" w:leftChars="0" w:right="0" w:rightChars="0" w:firstLine="0" w:firstLineChars="0"/>
              <w:jc w:val="left"/>
              <w:rPr>
                <w:rFonts w:ascii="方正楷体_GBK" w:hAnsi="方正楷体_GBK" w:eastAsia="方正楷体_GBK" w:cs="方正楷体_GBK"/>
                <w:color w:val="000000" w:themeColor="text1"/>
                <w:kern w:val="0"/>
                <w:szCs w:val="24"/>
              </w:rPr>
            </w:pPr>
            <w:r>
              <w:rPr>
                <w:rFonts w:hint="eastAsia" w:ascii="方正楷体_GBK" w:hAnsi="方正楷体_GBK" w:eastAsia="方正楷体_GBK" w:cs="方正楷体_GBK"/>
                <w:color w:val="000000"/>
                <w:kern w:val="0"/>
                <w:szCs w:val="24"/>
                <w:lang w:bidi="ar"/>
              </w:rPr>
              <w:t>（7）容量目标：建成后可同时容纳 3 组学生开展分组实训，年度实训覆盖学生规模提升至近 1000 人次。</w:t>
            </w:r>
          </w:p>
        </w:tc>
      </w:tr>
    </w:tbl>
    <w:p w14:paraId="556185BC">
      <w:pPr>
        <w:numPr>
          <w:ilvl w:val="0"/>
          <w:numId w:val="0"/>
        </w:num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65EEFADF">
      <w:pPr>
        <w:widowControl/>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二</w:t>
      </w:r>
      <w:r>
        <w:rPr>
          <w:rFonts w:hint="eastAsia" w:ascii="Times New Roman" w:hAnsi="Times New Roman" w:eastAsia="方正黑体_GBK" w:cs="Times New Roman"/>
          <w:b/>
          <w:sz w:val="32"/>
          <w:szCs w:val="32"/>
        </w:rPr>
        <w:t>、</w:t>
      </w:r>
      <w:r>
        <w:rPr>
          <w:rFonts w:hint="eastAsia" w:ascii="Times New Roman" w:hAnsi="Times New Roman" w:eastAsia="方正黑体_GBK" w:cs="Times New Roman"/>
          <w:b/>
          <w:sz w:val="32"/>
          <w:szCs w:val="32"/>
          <w:lang w:eastAsia="zh-CN"/>
        </w:rPr>
        <w:t>技术参数、采购数量、效果图</w:t>
      </w:r>
    </w:p>
    <w:p w14:paraId="4FE57151">
      <w:pPr>
        <w:rPr>
          <w:rFonts w:hint="eastAsia" w:ascii="方正楷体_GBK" w:hAnsi="方正楷体_GBK" w:eastAsia="黑体" w:cs="方正楷体_GBK"/>
          <w:color w:val="000000"/>
          <w:kern w:val="0"/>
          <w:szCs w:val="24"/>
          <w:lang w:val="en-US" w:eastAsia="zh-CN" w:bidi="ar"/>
        </w:rPr>
      </w:pPr>
      <w:r>
        <w:rPr>
          <w:rFonts w:hint="eastAsia" w:ascii="Times New Roman" w:hAnsi="Times New Roman" w:eastAsia="方正小标宋_GBK" w:cs="Times New Roman"/>
          <w:highlight w:val="none"/>
          <w:lang w:val="en-US" w:eastAsia="zh-CN"/>
        </w:rPr>
        <w:t xml:space="preserve">     </w:t>
      </w:r>
      <w:r>
        <w:rPr>
          <w:rFonts w:hint="eastAsia" w:ascii="黑体" w:hAnsi="黑体" w:eastAsia="黑体" w:cs="黑体"/>
          <w:sz w:val="28"/>
          <w:szCs w:val="28"/>
          <w:lang w:val="en-US" w:eastAsia="zh-CN"/>
        </w:rPr>
        <w:t>1.1</w:t>
      </w:r>
      <w:r>
        <w:rPr>
          <w:rFonts w:hint="eastAsia" w:ascii="方正楷体_GBK" w:hAnsi="方正楷体_GBK" w:eastAsia="方正楷体_GBK" w:cs="方正楷体_GBK"/>
          <w:color w:val="000000"/>
          <w:kern w:val="0"/>
          <w:szCs w:val="24"/>
          <w:lang w:val="en-US" w:eastAsia="zh-CN" w:bidi="ar"/>
        </w:rPr>
        <w:t>《</w:t>
      </w:r>
      <w:r>
        <w:rPr>
          <w:rFonts w:hint="eastAsia" w:ascii="黑体" w:hAnsi="黑体" w:eastAsia="黑体" w:cs="黑体"/>
          <w:sz w:val="28"/>
          <w:szCs w:val="28"/>
          <w:lang w:val="en-US" w:eastAsia="zh-CN"/>
        </w:rPr>
        <w:t>综合演播</w:t>
      </w:r>
      <w:r>
        <w:rPr>
          <w:rFonts w:hint="eastAsia" w:ascii="黑体" w:hAnsi="黑体" w:eastAsia="黑体" w:cs="黑体"/>
          <w:sz w:val="28"/>
          <w:szCs w:val="28"/>
        </w:rPr>
        <w:t>实训室建设方案</w:t>
      </w:r>
      <w:r>
        <w:rPr>
          <w:rFonts w:hint="eastAsia" w:ascii="黑体" w:hAnsi="黑体" w:eastAsia="黑体" w:cs="黑体"/>
          <w:sz w:val="28"/>
          <w:szCs w:val="28"/>
          <w:lang w:eastAsia="zh-CN"/>
        </w:rPr>
        <w:t>表》</w:t>
      </w:r>
    </w:p>
    <w:tbl>
      <w:tblPr>
        <w:tblStyle w:val="43"/>
        <w:tblW w:w="7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474"/>
        <w:gridCol w:w="787"/>
        <w:gridCol w:w="558"/>
        <w:gridCol w:w="3209"/>
      </w:tblGrid>
      <w:tr w14:paraId="2A7B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1F928AB">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序号</w:t>
            </w:r>
          </w:p>
        </w:tc>
        <w:tc>
          <w:tcPr>
            <w:tcW w:w="0" w:type="auto"/>
            <w:vAlign w:val="center"/>
          </w:tcPr>
          <w:p w14:paraId="4D5C952D">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项目名称</w:t>
            </w:r>
          </w:p>
        </w:tc>
        <w:tc>
          <w:tcPr>
            <w:tcW w:w="0" w:type="auto"/>
            <w:vAlign w:val="center"/>
          </w:tcPr>
          <w:p w14:paraId="61DB6A80">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单位</w:t>
            </w:r>
          </w:p>
        </w:tc>
        <w:tc>
          <w:tcPr>
            <w:tcW w:w="0" w:type="auto"/>
            <w:vAlign w:val="center"/>
          </w:tcPr>
          <w:p w14:paraId="7A8CD715">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数量</w:t>
            </w:r>
          </w:p>
        </w:tc>
        <w:tc>
          <w:tcPr>
            <w:tcW w:w="3208" w:type="dxa"/>
            <w:vAlign w:val="center"/>
          </w:tcPr>
          <w:p w14:paraId="1967D59F">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备注</w:t>
            </w:r>
          </w:p>
        </w:tc>
      </w:tr>
      <w:tr w14:paraId="545D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92FEAF3">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黑体" w:eastAsia="微软雅黑" w:cs="黑体"/>
                <w:sz w:val="18"/>
                <w:szCs w:val="28"/>
                <w:vertAlign w:val="baseline"/>
                <w:lang w:val="en-US" w:eastAsia="zh-CN"/>
              </w:rPr>
            </w:pPr>
            <w:r>
              <w:rPr>
                <w:rFonts w:hint="eastAsia" w:ascii="微软雅黑" w:hAnsi="微软雅黑" w:eastAsia="微软雅黑" w:cs="微软雅黑"/>
                <w:sz w:val="18"/>
                <w:szCs w:val="18"/>
                <w:vertAlign w:val="baseline"/>
                <w:lang w:val="en-US" w:eastAsia="zh-CN"/>
              </w:rPr>
              <w:t>1</w:t>
            </w:r>
          </w:p>
        </w:tc>
        <w:tc>
          <w:tcPr>
            <w:tcW w:w="0" w:type="auto"/>
            <w:vAlign w:val="center"/>
          </w:tcPr>
          <w:p w14:paraId="5660330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直播棚专业灯架</w:t>
            </w:r>
          </w:p>
        </w:tc>
        <w:tc>
          <w:tcPr>
            <w:tcW w:w="0" w:type="auto"/>
            <w:vAlign w:val="center"/>
          </w:tcPr>
          <w:p w14:paraId="738EEDE8">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0" w:type="auto"/>
            <w:vAlign w:val="center"/>
          </w:tcPr>
          <w:p w14:paraId="14B58E2A">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14B65B64">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黑体" w:eastAsia="微软雅黑" w:cs="黑体"/>
                <w:sz w:val="18"/>
                <w:szCs w:val="18"/>
                <w:vertAlign w:val="baseline"/>
                <w:lang w:eastAsia="zh-CN"/>
              </w:rPr>
            </w:pPr>
            <w:r>
              <w:rPr>
                <w:rFonts w:hint="eastAsia" w:ascii="微软雅黑" w:hAnsi="微软雅黑" w:eastAsia="微软雅黑" w:cs="微软雅黑"/>
                <w:i w:val="0"/>
                <w:iCs w:val="0"/>
                <w:color w:val="000000"/>
                <w:kern w:val="0"/>
                <w:sz w:val="18"/>
                <w:szCs w:val="18"/>
                <w:u w:val="none"/>
                <w:lang w:val="en-US" w:eastAsia="zh-CN" w:bidi="ar"/>
              </w:rPr>
              <w:t>承重稳，适配 400W灯具</w:t>
            </w:r>
          </w:p>
        </w:tc>
      </w:tr>
      <w:tr w14:paraId="3581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2AC3E84">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2</w:t>
            </w:r>
          </w:p>
        </w:tc>
        <w:tc>
          <w:tcPr>
            <w:tcW w:w="0" w:type="auto"/>
            <w:vAlign w:val="center"/>
          </w:tcPr>
          <w:p w14:paraId="39C074B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直播棚灯光</w:t>
            </w:r>
          </w:p>
        </w:tc>
        <w:tc>
          <w:tcPr>
            <w:tcW w:w="0" w:type="auto"/>
            <w:vAlign w:val="center"/>
          </w:tcPr>
          <w:p w14:paraId="0228C41C">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vAlign w:val="center"/>
          </w:tcPr>
          <w:p w14:paraId="6C170E1E">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1D2C3A90">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高显指，支持DMX</w:t>
            </w:r>
          </w:p>
        </w:tc>
      </w:tr>
      <w:tr w14:paraId="1B20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57E2023">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3</w:t>
            </w:r>
          </w:p>
        </w:tc>
        <w:tc>
          <w:tcPr>
            <w:tcW w:w="0" w:type="auto"/>
            <w:vAlign w:val="center"/>
          </w:tcPr>
          <w:p w14:paraId="0A5EE5E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直播间整体地胶</w:t>
            </w:r>
          </w:p>
        </w:tc>
        <w:tc>
          <w:tcPr>
            <w:tcW w:w="0" w:type="auto"/>
            <w:vAlign w:val="center"/>
          </w:tcPr>
          <w:p w14:paraId="5438B2B2">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0" w:type="auto"/>
            <w:vAlign w:val="center"/>
          </w:tcPr>
          <w:p w14:paraId="3C61DDEC">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2C09E9F6">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专业演播室加厚地胶，防滑耐磨</w:t>
            </w:r>
          </w:p>
        </w:tc>
      </w:tr>
      <w:tr w14:paraId="2E11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2E1BB8E">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4</w:t>
            </w:r>
          </w:p>
        </w:tc>
        <w:tc>
          <w:tcPr>
            <w:tcW w:w="0" w:type="auto"/>
            <w:vAlign w:val="center"/>
          </w:tcPr>
          <w:p w14:paraId="2D8E14B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直播间绿幕墙</w:t>
            </w:r>
          </w:p>
        </w:tc>
        <w:tc>
          <w:tcPr>
            <w:tcW w:w="0" w:type="auto"/>
            <w:vAlign w:val="center"/>
          </w:tcPr>
          <w:p w14:paraId="5480894B">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0" w:type="auto"/>
            <w:vAlign w:val="center"/>
          </w:tcPr>
          <w:p w14:paraId="4DB30FA4">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407603FB">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无缝绿幕，阻燃材质</w:t>
            </w:r>
          </w:p>
        </w:tc>
      </w:tr>
      <w:tr w14:paraId="769B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68A8408">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5</w:t>
            </w:r>
          </w:p>
        </w:tc>
        <w:tc>
          <w:tcPr>
            <w:tcW w:w="0" w:type="auto"/>
            <w:vAlign w:val="center"/>
          </w:tcPr>
          <w:p w14:paraId="38A444C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弱电电箱</w:t>
            </w:r>
          </w:p>
        </w:tc>
        <w:tc>
          <w:tcPr>
            <w:tcW w:w="0" w:type="auto"/>
            <w:vAlign w:val="center"/>
          </w:tcPr>
          <w:p w14:paraId="33CD119A">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vAlign w:val="center"/>
          </w:tcPr>
          <w:p w14:paraId="7929E2E6">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3F172AFC">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广电级安全防护</w:t>
            </w:r>
          </w:p>
        </w:tc>
      </w:tr>
      <w:tr w14:paraId="7E3E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948FCCA">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6</w:t>
            </w:r>
          </w:p>
        </w:tc>
        <w:tc>
          <w:tcPr>
            <w:tcW w:w="0" w:type="auto"/>
            <w:vAlign w:val="center"/>
          </w:tcPr>
          <w:p w14:paraId="5303DD9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强电电箱</w:t>
            </w:r>
          </w:p>
        </w:tc>
        <w:tc>
          <w:tcPr>
            <w:tcW w:w="0" w:type="auto"/>
            <w:vAlign w:val="center"/>
          </w:tcPr>
          <w:p w14:paraId="2B226AF2">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vAlign w:val="center"/>
          </w:tcPr>
          <w:p w14:paraId="6159F22E">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19175ED5">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广电级安全防护</w:t>
            </w:r>
          </w:p>
        </w:tc>
      </w:tr>
      <w:tr w14:paraId="5E30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36FAE25">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7</w:t>
            </w:r>
          </w:p>
        </w:tc>
        <w:tc>
          <w:tcPr>
            <w:tcW w:w="0" w:type="auto"/>
            <w:vAlign w:val="center"/>
          </w:tcPr>
          <w:p w14:paraId="48937A4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强弱电管线分布材料与安装</w:t>
            </w:r>
          </w:p>
        </w:tc>
        <w:tc>
          <w:tcPr>
            <w:tcW w:w="0" w:type="auto"/>
            <w:vAlign w:val="center"/>
          </w:tcPr>
          <w:p w14:paraId="7E1B321A">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0" w:type="auto"/>
            <w:vAlign w:val="center"/>
          </w:tcPr>
          <w:p w14:paraId="1DCDB8E4">
            <w:pPr>
              <w:keepNext w:val="0"/>
              <w:keepLines/>
              <w:pageBreakBefore w:val="0"/>
              <w:widowControl/>
              <w:kinsoku/>
              <w:wordWrap/>
              <w:overflowPunct/>
              <w:topLinePunct w:val="0"/>
              <w:autoSpaceDE/>
              <w:autoSpaceDN/>
              <w:bidi w:val="0"/>
              <w:adjustRightInd/>
              <w:snapToGrid w:val="0"/>
              <w:ind w:left="0" w:leftChars="0" w:right="0" w:rightChars="0" w:firstLine="0" w:firstLineChars="0"/>
              <w:jc w:val="left"/>
              <w:textAlignment w:val="auto"/>
              <w:rPr>
                <w:rFonts w:hint="eastAsia" w:ascii="微软雅黑" w:hAnsi="微软雅黑" w:eastAsia="微软雅黑" w:cs="微软雅黑"/>
                <w:sz w:val="18"/>
                <w:szCs w:val="18"/>
                <w:vertAlign w:val="baseline"/>
                <w:lang w:val="en-US" w:eastAsia="zh-CN"/>
              </w:rPr>
            </w:pPr>
          </w:p>
        </w:tc>
        <w:tc>
          <w:tcPr>
            <w:tcW w:w="3208" w:type="dxa"/>
            <w:vAlign w:val="center"/>
          </w:tcPr>
          <w:p w14:paraId="7C6A75D5">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国标 PVC 穿线管</w:t>
            </w:r>
            <w:r>
              <w:rPr>
                <w:rFonts w:hint="eastAsia" w:ascii="微软雅黑" w:hAnsi="微软雅黑" w:eastAsia="微软雅黑" w:cs="微软雅黑"/>
                <w:i w:val="0"/>
                <w:iCs w:val="0"/>
                <w:color w:val="000000"/>
                <w:sz w:val="18"/>
                <w:szCs w:val="18"/>
                <w:u w:val="none"/>
                <w:lang w:val="en-US" w:eastAsia="zh-CN"/>
              </w:rPr>
              <w:t>及</w:t>
            </w:r>
            <w:r>
              <w:rPr>
                <w:rFonts w:hint="eastAsia" w:ascii="微软雅黑" w:hAnsi="微软雅黑" w:eastAsia="微软雅黑" w:cs="微软雅黑"/>
                <w:i w:val="0"/>
                <w:iCs w:val="0"/>
                <w:color w:val="000000"/>
                <w:sz w:val="18"/>
                <w:szCs w:val="18"/>
                <w:u w:val="none"/>
              </w:rPr>
              <w:t>演播室专用线缆</w:t>
            </w:r>
          </w:p>
        </w:tc>
      </w:tr>
      <w:tr w14:paraId="2CAB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E5114BE">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黑体" w:eastAsia="微软雅黑" w:cs="黑体"/>
                <w:sz w:val="18"/>
                <w:szCs w:val="28"/>
                <w:vertAlign w:val="baseline"/>
                <w:lang w:val="en-US" w:eastAsia="zh-CN"/>
              </w:rPr>
            </w:pPr>
            <w:r>
              <w:rPr>
                <w:rFonts w:hint="eastAsia" w:ascii="微软雅黑" w:hAnsi="微软雅黑" w:eastAsia="微软雅黑" w:cs="微软雅黑"/>
                <w:sz w:val="18"/>
                <w:szCs w:val="18"/>
                <w:vertAlign w:val="baseline"/>
                <w:lang w:val="en-US" w:eastAsia="zh-CN"/>
              </w:rPr>
              <w:t>8</w:t>
            </w:r>
          </w:p>
        </w:tc>
        <w:tc>
          <w:tcPr>
            <w:tcW w:w="0" w:type="auto"/>
            <w:vAlign w:val="center"/>
          </w:tcPr>
          <w:p w14:paraId="277B8C0F">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单反相机加镜头(**)</w:t>
            </w:r>
          </w:p>
        </w:tc>
        <w:tc>
          <w:tcPr>
            <w:tcW w:w="0" w:type="auto"/>
            <w:vAlign w:val="center"/>
          </w:tcPr>
          <w:p w14:paraId="6AE55B3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台</w:t>
            </w:r>
          </w:p>
        </w:tc>
        <w:tc>
          <w:tcPr>
            <w:tcW w:w="0" w:type="auto"/>
            <w:vAlign w:val="center"/>
          </w:tcPr>
          <w:p w14:paraId="0C9D01D8">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49203062">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索尼A7M5机身+24-105镜头</w:t>
            </w:r>
          </w:p>
        </w:tc>
      </w:tr>
      <w:tr w14:paraId="6A98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B75FC75">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9</w:t>
            </w:r>
          </w:p>
        </w:tc>
        <w:tc>
          <w:tcPr>
            <w:tcW w:w="0" w:type="auto"/>
            <w:vAlign w:val="center"/>
          </w:tcPr>
          <w:p w14:paraId="205543C4">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采集卡(*)</w:t>
            </w:r>
          </w:p>
        </w:tc>
        <w:tc>
          <w:tcPr>
            <w:tcW w:w="0" w:type="auto"/>
            <w:vAlign w:val="center"/>
          </w:tcPr>
          <w:p w14:paraId="23F46324">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张</w:t>
            </w:r>
          </w:p>
        </w:tc>
        <w:tc>
          <w:tcPr>
            <w:tcW w:w="0" w:type="auto"/>
            <w:vAlign w:val="center"/>
          </w:tcPr>
          <w:p w14:paraId="371DA550">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674B22CA">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2K以上采集卡</w:t>
            </w:r>
          </w:p>
        </w:tc>
      </w:tr>
      <w:tr w14:paraId="36A2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6AB7687">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10</w:t>
            </w:r>
          </w:p>
        </w:tc>
        <w:tc>
          <w:tcPr>
            <w:tcW w:w="0" w:type="auto"/>
            <w:vAlign w:val="center"/>
          </w:tcPr>
          <w:p w14:paraId="5AEBE9F0">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三脚架(*)</w:t>
            </w:r>
          </w:p>
        </w:tc>
        <w:tc>
          <w:tcPr>
            <w:tcW w:w="0" w:type="auto"/>
            <w:vAlign w:val="center"/>
          </w:tcPr>
          <w:p w14:paraId="2CFC5E8E">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个</w:t>
            </w:r>
          </w:p>
        </w:tc>
        <w:tc>
          <w:tcPr>
            <w:tcW w:w="0" w:type="auto"/>
            <w:vAlign w:val="center"/>
          </w:tcPr>
          <w:p w14:paraId="36F69A2A">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5C6603C8">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专业摄像三脚架</w:t>
            </w:r>
          </w:p>
        </w:tc>
      </w:tr>
      <w:tr w14:paraId="5CD8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57C327F">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11</w:t>
            </w:r>
          </w:p>
        </w:tc>
        <w:tc>
          <w:tcPr>
            <w:tcW w:w="0" w:type="auto"/>
            <w:vAlign w:val="center"/>
          </w:tcPr>
          <w:p w14:paraId="2B9D66BA">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HDMI长线(*)</w:t>
            </w:r>
          </w:p>
        </w:tc>
        <w:tc>
          <w:tcPr>
            <w:tcW w:w="0" w:type="auto"/>
            <w:vAlign w:val="center"/>
          </w:tcPr>
          <w:p w14:paraId="374A97AF">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根</w:t>
            </w:r>
          </w:p>
        </w:tc>
        <w:tc>
          <w:tcPr>
            <w:tcW w:w="0" w:type="auto"/>
            <w:vAlign w:val="center"/>
          </w:tcPr>
          <w:p w14:paraId="6053AFEE">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3</w:t>
            </w:r>
          </w:p>
        </w:tc>
        <w:tc>
          <w:tcPr>
            <w:tcW w:w="3208" w:type="dxa"/>
            <w:vAlign w:val="center"/>
          </w:tcPr>
          <w:p w14:paraId="42A4AE71">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HDMI 2.0 4K 光纤长线 10 米</w:t>
            </w:r>
            <w:r>
              <w:rPr>
                <w:rFonts w:hint="eastAsia" w:ascii="微软雅黑" w:hAnsi="微软雅黑" w:eastAsia="微软雅黑" w:cs="微软雅黑"/>
                <w:i w:val="0"/>
                <w:iCs w:val="0"/>
                <w:color w:val="000000"/>
                <w:sz w:val="18"/>
                <w:szCs w:val="18"/>
                <w:u w:val="none"/>
                <w:lang w:val="en-US" w:eastAsia="zh-CN"/>
              </w:rPr>
              <w:t>以上</w:t>
            </w:r>
          </w:p>
        </w:tc>
      </w:tr>
      <w:tr w14:paraId="4E14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63246EA">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12</w:t>
            </w:r>
          </w:p>
        </w:tc>
        <w:tc>
          <w:tcPr>
            <w:tcW w:w="0" w:type="auto"/>
            <w:vAlign w:val="center"/>
          </w:tcPr>
          <w:p w14:paraId="2421FC18">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大疆小蜜蜂一拖二(*)</w:t>
            </w:r>
          </w:p>
        </w:tc>
        <w:tc>
          <w:tcPr>
            <w:tcW w:w="0" w:type="auto"/>
            <w:vAlign w:val="center"/>
          </w:tcPr>
          <w:p w14:paraId="68EE6EC9">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个</w:t>
            </w:r>
          </w:p>
        </w:tc>
        <w:tc>
          <w:tcPr>
            <w:tcW w:w="0" w:type="auto"/>
            <w:vAlign w:val="center"/>
          </w:tcPr>
          <w:p w14:paraId="37BA8040">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23151A14">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DJI Mic 2 一拖二无线领夹麦克风</w:t>
            </w:r>
          </w:p>
        </w:tc>
      </w:tr>
      <w:tr w14:paraId="7F36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C8A5D0F">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13</w:t>
            </w:r>
          </w:p>
        </w:tc>
        <w:tc>
          <w:tcPr>
            <w:tcW w:w="0" w:type="auto"/>
            <w:vAlign w:val="center"/>
          </w:tcPr>
          <w:p w14:paraId="1B0A25C4">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65寸一体机(*)</w:t>
            </w:r>
          </w:p>
        </w:tc>
        <w:tc>
          <w:tcPr>
            <w:tcW w:w="0" w:type="auto"/>
            <w:vAlign w:val="center"/>
          </w:tcPr>
          <w:p w14:paraId="3758FD4F">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台</w:t>
            </w:r>
          </w:p>
        </w:tc>
        <w:tc>
          <w:tcPr>
            <w:tcW w:w="0" w:type="auto"/>
            <w:vAlign w:val="center"/>
          </w:tcPr>
          <w:p w14:paraId="2B78BFC7">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315FB99E">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4K高清</w:t>
            </w:r>
          </w:p>
        </w:tc>
      </w:tr>
      <w:tr w14:paraId="4FF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5984C62">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14</w:t>
            </w:r>
          </w:p>
        </w:tc>
        <w:tc>
          <w:tcPr>
            <w:tcW w:w="0" w:type="auto"/>
            <w:vAlign w:val="center"/>
          </w:tcPr>
          <w:p w14:paraId="67746B1F">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3.5转卡农线(*)</w:t>
            </w:r>
          </w:p>
        </w:tc>
        <w:tc>
          <w:tcPr>
            <w:tcW w:w="0" w:type="auto"/>
            <w:vAlign w:val="center"/>
          </w:tcPr>
          <w:p w14:paraId="21F5708B">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根</w:t>
            </w:r>
          </w:p>
        </w:tc>
        <w:tc>
          <w:tcPr>
            <w:tcW w:w="0" w:type="auto"/>
            <w:vAlign w:val="center"/>
          </w:tcPr>
          <w:p w14:paraId="3A0240F4">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2</w:t>
            </w:r>
          </w:p>
        </w:tc>
        <w:tc>
          <w:tcPr>
            <w:tcW w:w="3208" w:type="dxa"/>
            <w:vAlign w:val="center"/>
          </w:tcPr>
          <w:p w14:paraId="36B3C192">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3米以上</w:t>
            </w:r>
          </w:p>
        </w:tc>
      </w:tr>
      <w:tr w14:paraId="599B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7C7828C">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15</w:t>
            </w:r>
          </w:p>
        </w:tc>
        <w:tc>
          <w:tcPr>
            <w:tcW w:w="0" w:type="auto"/>
            <w:vAlign w:val="center"/>
          </w:tcPr>
          <w:p w14:paraId="244FC247">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直播补光球灯(*)</w:t>
            </w:r>
          </w:p>
        </w:tc>
        <w:tc>
          <w:tcPr>
            <w:tcW w:w="0" w:type="auto"/>
            <w:vAlign w:val="center"/>
          </w:tcPr>
          <w:p w14:paraId="3727E4ED">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个</w:t>
            </w:r>
          </w:p>
        </w:tc>
        <w:tc>
          <w:tcPr>
            <w:tcW w:w="0" w:type="auto"/>
            <w:vAlign w:val="center"/>
          </w:tcPr>
          <w:p w14:paraId="78085D96">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2</w:t>
            </w:r>
          </w:p>
        </w:tc>
        <w:tc>
          <w:tcPr>
            <w:tcW w:w="3208" w:type="dxa"/>
            <w:vAlign w:val="center"/>
          </w:tcPr>
          <w:p w14:paraId="3BDBD46E">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p>
        </w:tc>
      </w:tr>
      <w:tr w14:paraId="7EEC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2F4422E">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16</w:t>
            </w:r>
          </w:p>
        </w:tc>
        <w:tc>
          <w:tcPr>
            <w:tcW w:w="0" w:type="auto"/>
            <w:vAlign w:val="center"/>
          </w:tcPr>
          <w:p w14:paraId="54EFD100">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提词器(*)</w:t>
            </w:r>
          </w:p>
        </w:tc>
        <w:tc>
          <w:tcPr>
            <w:tcW w:w="0" w:type="auto"/>
            <w:vAlign w:val="center"/>
          </w:tcPr>
          <w:p w14:paraId="71B2F92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台</w:t>
            </w:r>
          </w:p>
        </w:tc>
        <w:tc>
          <w:tcPr>
            <w:tcW w:w="0" w:type="auto"/>
            <w:vAlign w:val="center"/>
          </w:tcPr>
          <w:p w14:paraId="774F8DCD">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1A1026D9">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专业播音提词器</w:t>
            </w:r>
          </w:p>
        </w:tc>
      </w:tr>
      <w:tr w14:paraId="3DFF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DE0F579">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17</w:t>
            </w:r>
          </w:p>
        </w:tc>
        <w:tc>
          <w:tcPr>
            <w:tcW w:w="0" w:type="auto"/>
            <w:vAlign w:val="center"/>
          </w:tcPr>
          <w:p w14:paraId="1845D2AD">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防潮恒温柜(*)</w:t>
            </w:r>
          </w:p>
        </w:tc>
        <w:tc>
          <w:tcPr>
            <w:tcW w:w="0" w:type="auto"/>
            <w:vAlign w:val="center"/>
          </w:tcPr>
          <w:p w14:paraId="32E09862">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个</w:t>
            </w:r>
          </w:p>
        </w:tc>
        <w:tc>
          <w:tcPr>
            <w:tcW w:w="0" w:type="auto"/>
            <w:vAlign w:val="center"/>
          </w:tcPr>
          <w:p w14:paraId="6C23982E">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33D727B6">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电子防潮</w:t>
            </w:r>
          </w:p>
        </w:tc>
      </w:tr>
      <w:tr w14:paraId="7336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F9FCA35">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18</w:t>
            </w:r>
          </w:p>
        </w:tc>
        <w:tc>
          <w:tcPr>
            <w:tcW w:w="0" w:type="auto"/>
            <w:vAlign w:val="center"/>
          </w:tcPr>
          <w:p w14:paraId="7B56A9BC">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带面板座椅(*)</w:t>
            </w:r>
          </w:p>
        </w:tc>
        <w:tc>
          <w:tcPr>
            <w:tcW w:w="0" w:type="auto"/>
            <w:vAlign w:val="center"/>
          </w:tcPr>
          <w:p w14:paraId="71357422">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个</w:t>
            </w:r>
          </w:p>
        </w:tc>
        <w:tc>
          <w:tcPr>
            <w:tcW w:w="0" w:type="auto"/>
            <w:vAlign w:val="center"/>
          </w:tcPr>
          <w:p w14:paraId="29F238A5">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40</w:t>
            </w:r>
          </w:p>
        </w:tc>
        <w:tc>
          <w:tcPr>
            <w:tcW w:w="3208" w:type="dxa"/>
            <w:vAlign w:val="center"/>
          </w:tcPr>
          <w:p w14:paraId="59F7EFC9">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黑体" w:eastAsia="微软雅黑" w:cs="黑体"/>
                <w:sz w:val="18"/>
                <w:szCs w:val="18"/>
                <w:vertAlign w:val="baseline"/>
                <w:lang w:eastAsia="zh-CN"/>
              </w:rPr>
            </w:pPr>
            <w:r>
              <w:rPr>
                <w:rFonts w:hint="eastAsia" w:ascii="微软雅黑" w:hAnsi="微软雅黑" w:eastAsia="微软雅黑" w:cs="微软雅黑"/>
                <w:i w:val="0"/>
                <w:iCs w:val="0"/>
                <w:color w:val="000000"/>
                <w:sz w:val="18"/>
                <w:szCs w:val="18"/>
                <w:u w:val="none"/>
              </w:rPr>
              <w:t>演播室专用带控制面板播音椅</w:t>
            </w:r>
          </w:p>
        </w:tc>
      </w:tr>
      <w:tr w14:paraId="7AF5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58F36E7">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19</w:t>
            </w:r>
          </w:p>
        </w:tc>
        <w:tc>
          <w:tcPr>
            <w:tcW w:w="0" w:type="auto"/>
            <w:vAlign w:val="center"/>
          </w:tcPr>
          <w:p w14:paraId="05CFDF92">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新闻主播桌与椅(*)</w:t>
            </w:r>
          </w:p>
        </w:tc>
        <w:tc>
          <w:tcPr>
            <w:tcW w:w="0" w:type="auto"/>
            <w:vAlign w:val="center"/>
          </w:tcPr>
          <w:p w14:paraId="0DBD4EE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套</w:t>
            </w:r>
          </w:p>
        </w:tc>
        <w:tc>
          <w:tcPr>
            <w:tcW w:w="0" w:type="auto"/>
            <w:vAlign w:val="center"/>
          </w:tcPr>
          <w:p w14:paraId="29C837F6">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672C316C">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default" w:ascii="微软雅黑" w:hAnsi="黑体" w:eastAsia="微软雅黑" w:cs="黑体"/>
                <w:sz w:val="18"/>
                <w:szCs w:val="18"/>
                <w:vertAlign w:val="baseline"/>
                <w:lang w:val="en-US" w:eastAsia="zh-CN"/>
              </w:rPr>
            </w:pPr>
            <w:r>
              <w:rPr>
                <w:rFonts w:hint="eastAsia" w:ascii="微软雅黑" w:hAnsi="微软雅黑" w:eastAsia="微软雅黑" w:cs="微软雅黑"/>
                <w:i w:val="0"/>
                <w:iCs w:val="0"/>
                <w:color w:val="000000"/>
                <w:sz w:val="18"/>
                <w:szCs w:val="18"/>
                <w:u w:val="none"/>
              </w:rPr>
              <w:t>定制新闻演播桌（1.8m长，防火板材）+ 人体工学主播椅</w:t>
            </w:r>
          </w:p>
        </w:tc>
      </w:tr>
      <w:tr w14:paraId="7604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5A9A884">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20</w:t>
            </w:r>
          </w:p>
        </w:tc>
        <w:tc>
          <w:tcPr>
            <w:tcW w:w="0" w:type="auto"/>
            <w:vAlign w:val="center"/>
          </w:tcPr>
          <w:p w14:paraId="2DF99EBF">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主播桌与椅(*)</w:t>
            </w:r>
          </w:p>
        </w:tc>
        <w:tc>
          <w:tcPr>
            <w:tcW w:w="0" w:type="auto"/>
            <w:vAlign w:val="center"/>
          </w:tcPr>
          <w:p w14:paraId="1FC4B861">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套</w:t>
            </w:r>
          </w:p>
        </w:tc>
        <w:tc>
          <w:tcPr>
            <w:tcW w:w="0" w:type="auto"/>
            <w:vAlign w:val="center"/>
          </w:tcPr>
          <w:p w14:paraId="2354A83A">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1</w:t>
            </w:r>
          </w:p>
        </w:tc>
        <w:tc>
          <w:tcPr>
            <w:tcW w:w="3208" w:type="dxa"/>
            <w:vAlign w:val="center"/>
          </w:tcPr>
          <w:p w14:paraId="028E97AB">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黑体" w:eastAsia="微软雅黑" w:cs="黑体"/>
                <w:sz w:val="18"/>
                <w:szCs w:val="18"/>
                <w:vertAlign w:val="baseline"/>
                <w:lang w:eastAsia="zh-CN"/>
              </w:rPr>
            </w:pPr>
            <w:r>
              <w:rPr>
                <w:rFonts w:hint="eastAsia" w:ascii="微软雅黑" w:hAnsi="微软雅黑" w:eastAsia="微软雅黑" w:cs="微软雅黑"/>
                <w:i w:val="0"/>
                <w:iCs w:val="0"/>
                <w:color w:val="000000"/>
                <w:sz w:val="18"/>
                <w:szCs w:val="18"/>
                <w:u w:val="none"/>
              </w:rPr>
              <w:t>定制直播主播桌（1.6m 长，多功能走线）+ 人体工学主播椅</w:t>
            </w:r>
          </w:p>
        </w:tc>
      </w:tr>
      <w:tr w14:paraId="0BF0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DCCF459">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default"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21</w:t>
            </w:r>
          </w:p>
        </w:tc>
        <w:tc>
          <w:tcPr>
            <w:tcW w:w="0" w:type="auto"/>
            <w:vAlign w:val="center"/>
          </w:tcPr>
          <w:p w14:paraId="69DD4C36">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管理费</w:t>
            </w:r>
          </w:p>
        </w:tc>
        <w:tc>
          <w:tcPr>
            <w:tcW w:w="0" w:type="auto"/>
            <w:vAlign w:val="center"/>
          </w:tcPr>
          <w:p w14:paraId="5616F476">
            <w:pPr>
              <w:keepNext w:val="0"/>
              <w:keepLines w:val="0"/>
              <w:widowControl/>
              <w:suppressLineNumbers w:val="0"/>
              <w:snapToGrid w:val="0"/>
              <w:ind w:left="0" w:leftChars="0" w:right="0" w:rightChars="0" w:firstLine="0" w:firstLineChars="0"/>
              <w:jc w:val="left"/>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w:t>
            </w:r>
          </w:p>
        </w:tc>
        <w:tc>
          <w:tcPr>
            <w:tcW w:w="0" w:type="auto"/>
            <w:vAlign w:val="center"/>
          </w:tcPr>
          <w:p w14:paraId="3B00B925">
            <w:pPr>
              <w:keepNext w:val="0"/>
              <w:keepLines w:val="0"/>
              <w:widowControl/>
              <w:suppressLineNumbers w:val="0"/>
              <w:snapToGrid w:val="0"/>
              <w:ind w:left="0" w:leftChars="0" w:right="0" w:rightChars="0" w:firstLine="0" w:firstLineChars="0"/>
              <w:jc w:val="left"/>
              <w:textAlignment w:val="center"/>
              <w:rPr>
                <w:rFonts w:hint="default" w:ascii="微软雅黑" w:hAnsi="微软雅黑" w:eastAsia="微软雅黑" w:cs="微软雅黑"/>
                <w:i w:val="0"/>
                <w:iCs w:val="0"/>
                <w:color w:val="auto"/>
                <w:kern w:val="0"/>
                <w:sz w:val="18"/>
                <w:szCs w:val="18"/>
                <w:u w:val="none"/>
                <w:lang w:val="en-US" w:eastAsia="zh-CN" w:bidi="ar"/>
              </w:rPr>
            </w:pPr>
            <w:r>
              <w:rPr>
                <w:rFonts w:hint="eastAsia" w:ascii="微软雅黑" w:hAnsi="微软雅黑" w:eastAsia="微软雅黑" w:cs="微软雅黑"/>
                <w:i w:val="0"/>
                <w:iCs w:val="0"/>
                <w:color w:val="auto"/>
                <w:kern w:val="0"/>
                <w:sz w:val="18"/>
                <w:szCs w:val="18"/>
                <w:u w:val="none"/>
                <w:lang w:val="en-US" w:eastAsia="zh-CN" w:bidi="ar"/>
              </w:rPr>
              <w:t>/</w:t>
            </w:r>
          </w:p>
        </w:tc>
        <w:tc>
          <w:tcPr>
            <w:tcW w:w="3208" w:type="dxa"/>
            <w:vAlign w:val="center"/>
          </w:tcPr>
          <w:p w14:paraId="441D899A">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黑体" w:eastAsia="微软雅黑" w:cs="黑体"/>
                <w:sz w:val="18"/>
                <w:szCs w:val="18"/>
                <w:vertAlign w:val="baseline"/>
                <w:lang w:eastAsia="zh-CN"/>
              </w:rPr>
            </w:pPr>
            <w:r>
              <w:rPr>
                <w:rFonts w:hint="eastAsia" w:ascii="微软雅黑" w:hAnsi="微软雅黑" w:eastAsia="微软雅黑" w:cs="微软雅黑"/>
                <w:i w:val="0"/>
                <w:iCs w:val="0"/>
                <w:color w:val="auto"/>
                <w:kern w:val="0"/>
                <w:sz w:val="18"/>
                <w:szCs w:val="18"/>
                <w:u w:val="none"/>
                <w:lang w:val="en-US" w:eastAsia="zh-CN" w:bidi="ar"/>
              </w:rPr>
              <w:t>含临时设施、建筑垃圾外运、开荒清洁、书架搬运人员费</w:t>
            </w:r>
          </w:p>
        </w:tc>
      </w:tr>
    </w:tbl>
    <w:p w14:paraId="61D4D761">
      <w:pPr>
        <w:rPr>
          <w:rFonts w:hint="eastAsia" w:ascii="Times New Roman" w:hAnsi="Times New Roman" w:eastAsia="方正小标宋_GBK" w:cs="Times New Roman"/>
          <w:highlight w:val="none"/>
          <w:lang w:val="en-US" w:eastAsia="zh-CN"/>
        </w:rPr>
      </w:pPr>
      <w:r>
        <w:rPr>
          <w:rFonts w:hint="eastAsia" w:ascii="Times New Roman" w:hAnsi="Times New Roman" w:eastAsia="方正小标宋_GBK" w:cs="Times New Roman"/>
          <w:highlight w:val="none"/>
          <w:lang w:val="en-US" w:eastAsia="zh-CN"/>
        </w:rPr>
        <w:t xml:space="preserve">     注：带有(*)为必需品、不规定品牌型号，但所投产品的功能参数需要与方案中已有型号能实现的功能持平或更好；带有(**)的必要品、要求型号与综合演播实训室建设方案表中的一样，《综合演播实训室建设方案表》只是作为校方参考表，具体方案，需投标人自行现场踏勘。</w:t>
      </w:r>
    </w:p>
    <w:p w14:paraId="58B8369A">
      <w:pPr>
        <w:rPr>
          <w:rFonts w:hint="default" w:ascii="Times New Roman" w:hAnsi="Times New Roman" w:eastAsia="方正小标宋_GBK" w:cs="Times New Roman"/>
          <w:highlight w:val="none"/>
          <w:lang w:val="en-US" w:eastAsia="zh-CN"/>
        </w:rPr>
      </w:pPr>
      <w:r>
        <w:rPr>
          <w:rFonts w:hint="eastAsia" w:ascii="仿宋" w:hAnsi="仿宋" w:eastAsia="仿宋" w:cs="仿宋"/>
          <w:b w:val="0"/>
          <w:bCs w:val="0"/>
          <w:sz w:val="32"/>
          <w:szCs w:val="32"/>
          <w:lang w:val="en-US" w:eastAsia="zh-CN"/>
        </w:rPr>
        <w:t xml:space="preserve">   </w:t>
      </w:r>
      <w:r>
        <w:rPr>
          <w:rFonts w:hint="eastAsia" w:ascii="黑体" w:hAnsi="黑体" w:eastAsia="黑体" w:cs="黑体"/>
          <w:b w:val="0"/>
          <w:bCs w:val="0"/>
          <w:sz w:val="28"/>
          <w:szCs w:val="28"/>
          <w:lang w:val="en-US" w:eastAsia="zh-CN"/>
        </w:rPr>
        <w:t xml:space="preserve">1.2综合演播实训室参考效果图 </w:t>
      </w:r>
      <w:r>
        <w:rPr>
          <w:rFonts w:hint="eastAsia" w:ascii="Times New Roman" w:hAnsi="Times New Roman" w:eastAsia="方正小标宋_GBK" w:cs="Times New Roman"/>
          <w:b w:val="0"/>
          <w:bCs w:val="0"/>
          <w:highlight w:val="none"/>
          <w:lang w:val="en-US" w:eastAsia="zh-CN"/>
        </w:rPr>
        <w:t xml:space="preserve"> </w:t>
      </w:r>
      <w:r>
        <w:rPr>
          <w:rFonts w:hint="eastAsia" w:ascii="Times New Roman" w:hAnsi="Times New Roman" w:eastAsia="方正小标宋_GBK" w:cs="Times New Roman"/>
          <w:highlight w:val="none"/>
          <w:lang w:val="en-US" w:eastAsia="zh-CN"/>
        </w:rPr>
        <w:t xml:space="preserve">  </w:t>
      </w:r>
    </w:p>
    <w:p w14:paraId="199E79BB">
      <w:pPr>
        <w:rPr>
          <w:rFonts w:hint="eastAsia" w:ascii="黑体" w:hAnsi="黑体" w:eastAsia="黑体" w:cs="黑体"/>
          <w:sz w:val="28"/>
          <w:szCs w:val="28"/>
          <w:lang w:val="en-US" w:eastAsia="zh-CN"/>
        </w:rPr>
      </w:pPr>
      <w:r>
        <w:drawing>
          <wp:anchor distT="0" distB="0" distL="114300" distR="114300" simplePos="0" relativeHeight="251660288" behindDoc="1" locked="0" layoutInCell="1" allowOverlap="1">
            <wp:simplePos x="0" y="0"/>
            <wp:positionH relativeFrom="column">
              <wp:posOffset>2780030</wp:posOffset>
            </wp:positionH>
            <wp:positionV relativeFrom="paragraph">
              <wp:posOffset>165735</wp:posOffset>
            </wp:positionV>
            <wp:extent cx="3410585" cy="2129155"/>
            <wp:effectExtent l="0" t="0" r="18415" b="4445"/>
            <wp:wrapTight wrapText="bothSides">
              <wp:wrapPolygon>
                <wp:start x="0" y="0"/>
                <wp:lineTo x="0" y="21452"/>
                <wp:lineTo x="21475" y="21452"/>
                <wp:lineTo x="2147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t="50578"/>
                    <a:stretch>
                      <a:fillRect/>
                    </a:stretch>
                  </pic:blipFill>
                  <pic:spPr>
                    <a:xfrm>
                      <a:off x="0" y="0"/>
                      <a:ext cx="3410585" cy="2129155"/>
                    </a:xfrm>
                    <a:prstGeom prst="rect">
                      <a:avLst/>
                    </a:prstGeom>
                    <a:noFill/>
                    <a:ln>
                      <a:noFill/>
                    </a:ln>
                  </pic:spPr>
                </pic:pic>
              </a:graphicData>
            </a:graphic>
          </wp:anchor>
        </w:drawing>
      </w:r>
      <w:r>
        <w:rPr>
          <w:rFonts w:hint="default" w:ascii="仿宋" w:hAnsi="仿宋" w:eastAsia="仿宋" w:cs="仿宋"/>
          <w:b/>
          <w:bCs/>
          <w:sz w:val="32"/>
          <w:szCs w:val="32"/>
          <w:lang w:val="en-US" w:eastAsia="zh-CN"/>
        </w:rPr>
        <w:drawing>
          <wp:anchor distT="0" distB="0" distL="114300" distR="114300" simplePos="0" relativeHeight="251659264" behindDoc="1" locked="0" layoutInCell="1" allowOverlap="1">
            <wp:simplePos x="0" y="0"/>
            <wp:positionH relativeFrom="column">
              <wp:posOffset>-640715</wp:posOffset>
            </wp:positionH>
            <wp:positionV relativeFrom="paragraph">
              <wp:posOffset>163830</wp:posOffset>
            </wp:positionV>
            <wp:extent cx="3243580" cy="2153920"/>
            <wp:effectExtent l="0" t="0" r="13970" b="17780"/>
            <wp:wrapNone/>
            <wp:docPr id="5" name="图片 5" descr="/Users/wangxiaofeng/Library/Containers/com.kingsoft.wpsoffice.mac/Data/tmp/photoeditapp/20251103112255/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Users/wangxiaofeng/Library/Containers/com.kingsoft.wpsoffice.mac/Data/tmp/photoeditapp/20251103112255/temp.pngtemp"/>
                    <pic:cNvPicPr>
                      <a:picLocks noChangeAspect="1"/>
                    </pic:cNvPicPr>
                  </pic:nvPicPr>
                  <pic:blipFill>
                    <a:blip r:embed="rId7"/>
                    <a:stretch>
                      <a:fillRect/>
                    </a:stretch>
                  </pic:blipFill>
                  <pic:spPr>
                    <a:xfrm>
                      <a:off x="0" y="0"/>
                      <a:ext cx="3243580" cy="2153920"/>
                    </a:xfrm>
                    <a:prstGeom prst="rect">
                      <a:avLst/>
                    </a:prstGeom>
                  </pic:spPr>
                </pic:pic>
              </a:graphicData>
            </a:graphic>
          </wp:anchor>
        </w:drawing>
      </w:r>
    </w:p>
    <w:p w14:paraId="6C5DE2F4">
      <w:pPr>
        <w:rPr>
          <w:rFonts w:hint="eastAsia" w:ascii="黑体" w:hAnsi="黑体" w:eastAsia="黑体" w:cs="黑体"/>
          <w:sz w:val="28"/>
          <w:szCs w:val="28"/>
          <w:lang w:val="en-US" w:eastAsia="zh-CN"/>
        </w:rPr>
      </w:pPr>
    </w:p>
    <w:p w14:paraId="0CB5D6FE">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14:paraId="673CA472">
      <w:pPr>
        <w:rPr>
          <w:rFonts w:ascii="Times New Roman" w:hAnsi="Times New Roman" w:eastAsia="方正小标宋_GBK" w:cs="Times New Roman"/>
          <w:highlight w:val="none"/>
        </w:rPr>
      </w:pPr>
      <w:r>
        <w:rPr>
          <w:rFonts w:hint="eastAsia" w:ascii="黑体" w:hAnsi="黑体" w:eastAsia="黑体" w:cs="黑体"/>
          <w:sz w:val="28"/>
          <w:szCs w:val="28"/>
          <w:lang w:val="en-US" w:eastAsia="zh-CN"/>
        </w:rPr>
        <w:t>2.1《配音艺术实训室建设</w:t>
      </w:r>
      <w:r>
        <w:rPr>
          <w:rFonts w:hint="eastAsia" w:ascii="黑体" w:hAnsi="黑体" w:eastAsia="黑体" w:cs="黑体"/>
          <w:sz w:val="28"/>
          <w:szCs w:val="28"/>
        </w:rPr>
        <w:t>方案</w:t>
      </w:r>
      <w:r>
        <w:rPr>
          <w:rFonts w:hint="eastAsia" w:ascii="黑体" w:hAnsi="黑体" w:eastAsia="黑体" w:cs="黑体"/>
          <w:sz w:val="28"/>
          <w:szCs w:val="28"/>
          <w:lang w:eastAsia="zh-CN"/>
        </w:rPr>
        <w:t>表》</w:t>
      </w:r>
    </w:p>
    <w:tbl>
      <w:tblPr>
        <w:tblStyle w:val="43"/>
        <w:tblW w:w="7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2496"/>
        <w:gridCol w:w="579"/>
        <w:gridCol w:w="579"/>
        <w:gridCol w:w="3216"/>
      </w:tblGrid>
      <w:tr w14:paraId="764B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0DD128A7">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序号</w:t>
            </w:r>
          </w:p>
        </w:tc>
        <w:tc>
          <w:tcPr>
            <w:tcW w:w="2496" w:type="dxa"/>
            <w:vAlign w:val="center"/>
          </w:tcPr>
          <w:p w14:paraId="2C933B56">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项目名称</w:t>
            </w:r>
          </w:p>
        </w:tc>
        <w:tc>
          <w:tcPr>
            <w:tcW w:w="579" w:type="dxa"/>
            <w:vAlign w:val="center"/>
          </w:tcPr>
          <w:p w14:paraId="6D43C422">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单位</w:t>
            </w:r>
          </w:p>
        </w:tc>
        <w:tc>
          <w:tcPr>
            <w:tcW w:w="0" w:type="auto"/>
            <w:vAlign w:val="center"/>
          </w:tcPr>
          <w:p w14:paraId="4F552E22">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数量</w:t>
            </w:r>
          </w:p>
        </w:tc>
        <w:tc>
          <w:tcPr>
            <w:tcW w:w="3216" w:type="dxa"/>
            <w:vAlign w:val="center"/>
          </w:tcPr>
          <w:p w14:paraId="0F6E0676">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b/>
                <w:bCs/>
                <w:sz w:val="16"/>
                <w:szCs w:val="16"/>
                <w:vertAlign w:val="baseline"/>
                <w:lang w:val="en-US" w:eastAsia="zh-CN"/>
              </w:rPr>
            </w:pPr>
            <w:r>
              <w:rPr>
                <w:rFonts w:hint="eastAsia" w:ascii="微软雅黑" w:hAnsi="微软雅黑" w:eastAsia="微软雅黑" w:cs="微软雅黑"/>
                <w:b/>
                <w:bCs/>
                <w:sz w:val="16"/>
                <w:szCs w:val="16"/>
                <w:vertAlign w:val="baseline"/>
                <w:lang w:val="en-US" w:eastAsia="zh-CN"/>
              </w:rPr>
              <w:t>备注</w:t>
            </w:r>
          </w:p>
        </w:tc>
      </w:tr>
      <w:tr w14:paraId="649B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7EABF33">
            <w:pPr>
              <w:keepNext w:val="0"/>
              <w:keepLines/>
              <w:pageBreakBefore w:val="0"/>
              <w:widowControl/>
              <w:kinsoku/>
              <w:wordWrap/>
              <w:overflowPunct/>
              <w:topLinePunct w:val="0"/>
              <w:autoSpaceDE/>
              <w:autoSpaceDN/>
              <w:bidi w:val="0"/>
              <w:adjustRightInd/>
              <w:snapToGrid w:val="0"/>
              <w:ind w:left="0" w:leftChars="0" w:right="0" w:rightChars="0" w:firstLine="0" w:firstLineChars="0"/>
              <w:jc w:val="center"/>
              <w:textAlignment w:val="auto"/>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w:t>
            </w:r>
          </w:p>
        </w:tc>
        <w:tc>
          <w:tcPr>
            <w:tcW w:w="2496" w:type="dxa"/>
            <w:vAlign w:val="center"/>
          </w:tcPr>
          <w:p w14:paraId="6D79B25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录影棚吸音地毯</w:t>
            </w:r>
          </w:p>
        </w:tc>
        <w:tc>
          <w:tcPr>
            <w:tcW w:w="579" w:type="dxa"/>
            <w:vAlign w:val="center"/>
          </w:tcPr>
          <w:p w14:paraId="730D4657">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0" w:type="auto"/>
            <w:vAlign w:val="center"/>
          </w:tcPr>
          <w:p w14:paraId="26A51BF1">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sz w:val="18"/>
                <w:szCs w:val="18"/>
                <w:vertAlign w:val="baseline"/>
                <w:lang w:val="en-US" w:eastAsia="zh-CN"/>
              </w:rPr>
            </w:pPr>
          </w:p>
        </w:tc>
        <w:tc>
          <w:tcPr>
            <w:tcW w:w="3216" w:type="dxa"/>
            <w:vAlign w:val="center"/>
          </w:tcPr>
          <w:p w14:paraId="069078A8">
            <w:pPr>
              <w:keepNext w:val="0"/>
              <w:keepLines/>
              <w:pageBreakBefore w:val="0"/>
              <w:widowControl/>
              <w:kinsoku/>
              <w:wordWrap/>
              <w:overflowPunct/>
              <w:topLinePunct w:val="0"/>
              <w:autoSpaceDE/>
              <w:autoSpaceDN/>
              <w:bidi w:val="0"/>
              <w:adjustRightInd/>
              <w:snapToGrid w:val="0"/>
              <w:ind w:left="0" w:leftChars="0" w:right="0" w:rightChars="0" w:firstLine="0" w:firstLineChars="0"/>
              <w:jc w:val="right"/>
              <w:textAlignment w:val="auto"/>
              <w:rPr>
                <w:rFonts w:hint="eastAsia" w:ascii="微软雅黑" w:hAnsi="微软雅黑" w:eastAsia="微软雅黑" w:cs="微软雅黑"/>
                <w:sz w:val="18"/>
                <w:szCs w:val="18"/>
                <w:vertAlign w:val="baseline"/>
                <w:lang w:eastAsia="zh-CN"/>
              </w:rPr>
            </w:pPr>
            <w:r>
              <w:rPr>
                <w:rFonts w:hint="eastAsia" w:ascii="微软雅黑" w:hAnsi="微软雅黑" w:eastAsia="微软雅黑" w:cs="微软雅黑"/>
                <w:sz w:val="18"/>
                <w:szCs w:val="18"/>
                <w:vertAlign w:val="baseline"/>
                <w:lang w:val="en-US" w:eastAsia="zh-CN"/>
              </w:rPr>
              <w:t>规格：120*160CM椭圆</w:t>
            </w:r>
          </w:p>
        </w:tc>
      </w:tr>
      <w:tr w14:paraId="720C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6A4A1A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w:t>
            </w:r>
          </w:p>
        </w:tc>
        <w:tc>
          <w:tcPr>
            <w:tcW w:w="2496" w:type="dxa"/>
            <w:shd w:val="clear" w:color="auto" w:fill="auto"/>
            <w:vAlign w:val="center"/>
          </w:tcPr>
          <w:p w14:paraId="7C375172">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录音棚吊顶</w:t>
            </w:r>
          </w:p>
        </w:tc>
        <w:tc>
          <w:tcPr>
            <w:tcW w:w="579" w:type="dxa"/>
            <w:shd w:val="clear" w:color="auto" w:fill="auto"/>
            <w:vAlign w:val="center"/>
          </w:tcPr>
          <w:p w14:paraId="1A67A8A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40412E03">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4EB01EA0">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石膏板吊顶，填充离心玻璃棉隔音层</w:t>
            </w:r>
          </w:p>
        </w:tc>
      </w:tr>
      <w:tr w14:paraId="3FE3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BDC299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3</w:t>
            </w:r>
          </w:p>
        </w:tc>
        <w:tc>
          <w:tcPr>
            <w:tcW w:w="2496" w:type="dxa"/>
            <w:shd w:val="clear" w:color="auto" w:fill="auto"/>
            <w:vAlign w:val="center"/>
          </w:tcPr>
          <w:p w14:paraId="551A0C7C">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录音棚顶面隔音</w:t>
            </w:r>
          </w:p>
        </w:tc>
        <w:tc>
          <w:tcPr>
            <w:tcW w:w="579" w:type="dxa"/>
            <w:shd w:val="clear" w:color="auto" w:fill="auto"/>
            <w:vAlign w:val="center"/>
          </w:tcPr>
          <w:p w14:paraId="2986D8D8">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2A6B4C82">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4B17B5F6">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顶面浮筑隔音结构，采用阻尼隔音板+隔音毡双层隔音</w:t>
            </w:r>
          </w:p>
        </w:tc>
      </w:tr>
      <w:tr w14:paraId="66CF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BCB107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w:t>
            </w:r>
          </w:p>
        </w:tc>
        <w:tc>
          <w:tcPr>
            <w:tcW w:w="2496" w:type="dxa"/>
            <w:shd w:val="clear" w:color="auto" w:fill="auto"/>
            <w:vAlign w:val="center"/>
          </w:tcPr>
          <w:p w14:paraId="2073823A">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录音棚顶面吸音器</w:t>
            </w:r>
          </w:p>
        </w:tc>
        <w:tc>
          <w:tcPr>
            <w:tcW w:w="579" w:type="dxa"/>
            <w:shd w:val="clear" w:color="auto" w:fill="auto"/>
            <w:vAlign w:val="center"/>
          </w:tcPr>
          <w:p w14:paraId="44E482E2">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组</w:t>
            </w:r>
          </w:p>
        </w:tc>
        <w:tc>
          <w:tcPr>
            <w:tcW w:w="0" w:type="auto"/>
            <w:shd w:val="clear" w:color="auto" w:fill="auto"/>
            <w:vAlign w:val="center"/>
          </w:tcPr>
          <w:p w14:paraId="1A7EA0D7">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5E83CCEE">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QRD 二维扩散体 + 布艺软包吸音板组合，NRC≥0.85</w:t>
            </w:r>
          </w:p>
        </w:tc>
      </w:tr>
      <w:tr w14:paraId="027F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FA81C9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5</w:t>
            </w:r>
          </w:p>
        </w:tc>
        <w:tc>
          <w:tcPr>
            <w:tcW w:w="2496" w:type="dxa"/>
            <w:shd w:val="clear" w:color="auto" w:fill="auto"/>
            <w:vAlign w:val="center"/>
          </w:tcPr>
          <w:p w14:paraId="3D743C45">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录音棚顶面扩散器</w:t>
            </w:r>
          </w:p>
        </w:tc>
        <w:tc>
          <w:tcPr>
            <w:tcW w:w="579" w:type="dxa"/>
            <w:shd w:val="clear" w:color="auto" w:fill="auto"/>
            <w:vAlign w:val="center"/>
          </w:tcPr>
          <w:p w14:paraId="4E67A1D5">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组</w:t>
            </w:r>
          </w:p>
        </w:tc>
        <w:tc>
          <w:tcPr>
            <w:tcW w:w="0" w:type="auto"/>
            <w:shd w:val="clear" w:color="auto" w:fill="auto"/>
            <w:vAlign w:val="center"/>
          </w:tcPr>
          <w:p w14:paraId="20EA2F81">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6E8F28C4">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实木材质，扩散系数≥0.8，优化声场均匀度</w:t>
            </w:r>
          </w:p>
        </w:tc>
      </w:tr>
      <w:tr w14:paraId="6FE3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C71B97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6</w:t>
            </w:r>
          </w:p>
        </w:tc>
        <w:tc>
          <w:tcPr>
            <w:tcW w:w="2496" w:type="dxa"/>
            <w:shd w:val="clear" w:color="auto" w:fill="auto"/>
            <w:vAlign w:val="center"/>
          </w:tcPr>
          <w:p w14:paraId="12225ECF">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录音棚点光灯源</w:t>
            </w:r>
          </w:p>
        </w:tc>
        <w:tc>
          <w:tcPr>
            <w:tcW w:w="579" w:type="dxa"/>
            <w:shd w:val="clear" w:color="auto" w:fill="auto"/>
            <w:vAlign w:val="center"/>
          </w:tcPr>
          <w:p w14:paraId="241851AC">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2F5D6DEB">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03586443">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高显色指数 CRI≥90</w:t>
            </w:r>
          </w:p>
        </w:tc>
      </w:tr>
      <w:tr w14:paraId="33FE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BE1CAB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7</w:t>
            </w:r>
          </w:p>
        </w:tc>
        <w:tc>
          <w:tcPr>
            <w:tcW w:w="2496" w:type="dxa"/>
            <w:shd w:val="clear" w:color="auto" w:fill="auto"/>
            <w:vAlign w:val="center"/>
          </w:tcPr>
          <w:p w14:paraId="76EE9A2D">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录音棚漫反射线型灯</w:t>
            </w:r>
          </w:p>
        </w:tc>
        <w:tc>
          <w:tcPr>
            <w:tcW w:w="579" w:type="dxa"/>
            <w:shd w:val="clear" w:color="auto" w:fill="auto"/>
            <w:vAlign w:val="center"/>
          </w:tcPr>
          <w:p w14:paraId="76CBB434">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p>
        </w:tc>
        <w:tc>
          <w:tcPr>
            <w:tcW w:w="0" w:type="auto"/>
            <w:shd w:val="clear" w:color="auto" w:fill="auto"/>
            <w:vAlign w:val="center"/>
          </w:tcPr>
          <w:p w14:paraId="62B66235">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13E6C89A">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防眩光设计，无频闪护眼</w:t>
            </w:r>
          </w:p>
        </w:tc>
      </w:tr>
      <w:tr w14:paraId="7827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E31ABE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8</w:t>
            </w:r>
          </w:p>
        </w:tc>
        <w:tc>
          <w:tcPr>
            <w:tcW w:w="2496" w:type="dxa"/>
            <w:shd w:val="clear" w:color="auto" w:fill="auto"/>
            <w:vAlign w:val="center"/>
          </w:tcPr>
          <w:p w14:paraId="148D296E">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录音操作间整体地胶</w:t>
            </w:r>
          </w:p>
        </w:tc>
        <w:tc>
          <w:tcPr>
            <w:tcW w:w="579" w:type="dxa"/>
            <w:shd w:val="clear" w:color="auto" w:fill="auto"/>
            <w:vAlign w:val="center"/>
          </w:tcPr>
          <w:p w14:paraId="4CF0951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68BB0B80">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3CCB4EFC">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2.0mm 厚专业演播室 PVC 地胶，防滑耐磨、环保无甲醛</w:t>
            </w:r>
          </w:p>
        </w:tc>
      </w:tr>
      <w:tr w14:paraId="2643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D730C9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9</w:t>
            </w:r>
          </w:p>
        </w:tc>
        <w:tc>
          <w:tcPr>
            <w:tcW w:w="2496" w:type="dxa"/>
            <w:shd w:val="clear" w:color="auto" w:fill="auto"/>
            <w:vAlign w:val="center"/>
          </w:tcPr>
          <w:p w14:paraId="2C719B29">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录音棚隔墙</w:t>
            </w:r>
          </w:p>
        </w:tc>
        <w:tc>
          <w:tcPr>
            <w:tcW w:w="579" w:type="dxa"/>
            <w:shd w:val="clear" w:color="auto" w:fill="auto"/>
            <w:vAlign w:val="center"/>
          </w:tcPr>
          <w:p w14:paraId="2C2058D4">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6213682F">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29FD5CCF">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隔声量≥45dB</w:t>
            </w:r>
          </w:p>
        </w:tc>
      </w:tr>
      <w:tr w14:paraId="6360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A734CF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10</w:t>
            </w:r>
          </w:p>
        </w:tc>
        <w:tc>
          <w:tcPr>
            <w:tcW w:w="2496" w:type="dxa"/>
            <w:shd w:val="clear" w:color="auto" w:fill="auto"/>
            <w:vAlign w:val="center"/>
          </w:tcPr>
          <w:p w14:paraId="3B83994C">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录音棚墙面隔音板安装</w:t>
            </w:r>
          </w:p>
        </w:tc>
        <w:tc>
          <w:tcPr>
            <w:tcW w:w="579" w:type="dxa"/>
            <w:shd w:val="clear" w:color="auto" w:fill="auto"/>
            <w:vAlign w:val="center"/>
          </w:tcPr>
          <w:p w14:paraId="5DC1807C">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5B758350">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5FBAFB4F">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NRC≥0.9，隔绝外界噪音</w:t>
            </w:r>
          </w:p>
        </w:tc>
      </w:tr>
      <w:tr w14:paraId="42EB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FBD952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11</w:t>
            </w:r>
          </w:p>
        </w:tc>
        <w:tc>
          <w:tcPr>
            <w:tcW w:w="2496" w:type="dxa"/>
            <w:shd w:val="clear" w:color="auto" w:fill="auto"/>
            <w:vAlign w:val="center"/>
          </w:tcPr>
          <w:p w14:paraId="3C9A95B1">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录音棚墙面隔音门</w:t>
            </w:r>
          </w:p>
        </w:tc>
        <w:tc>
          <w:tcPr>
            <w:tcW w:w="579" w:type="dxa"/>
            <w:shd w:val="clear" w:color="auto" w:fill="auto"/>
            <w:vAlign w:val="center"/>
          </w:tcPr>
          <w:p w14:paraId="13D3E9DC">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扇</w:t>
            </w:r>
          </w:p>
        </w:tc>
        <w:tc>
          <w:tcPr>
            <w:tcW w:w="0" w:type="auto"/>
            <w:shd w:val="clear" w:color="auto" w:fill="auto"/>
            <w:vAlign w:val="center"/>
          </w:tcPr>
          <w:p w14:paraId="77EACF0F">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04E20353">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专业录音棚双开隔音门，隔声量≥40dB</w:t>
            </w:r>
          </w:p>
        </w:tc>
      </w:tr>
      <w:tr w14:paraId="4922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88127F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12</w:t>
            </w:r>
          </w:p>
        </w:tc>
        <w:tc>
          <w:tcPr>
            <w:tcW w:w="2496" w:type="dxa"/>
            <w:shd w:val="clear" w:color="auto" w:fill="auto"/>
            <w:vAlign w:val="center"/>
          </w:tcPr>
          <w:p w14:paraId="6CF3B51A">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录音棚墙面隔音观察窗</w:t>
            </w:r>
          </w:p>
        </w:tc>
        <w:tc>
          <w:tcPr>
            <w:tcW w:w="579" w:type="dxa"/>
            <w:shd w:val="clear" w:color="auto" w:fill="auto"/>
            <w:vAlign w:val="center"/>
          </w:tcPr>
          <w:p w14:paraId="49825115">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0292AEB6">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23F83210">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隔声量≥45dB</w:t>
            </w:r>
          </w:p>
        </w:tc>
      </w:tr>
      <w:tr w14:paraId="00D1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AAF960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13</w:t>
            </w:r>
          </w:p>
        </w:tc>
        <w:tc>
          <w:tcPr>
            <w:tcW w:w="2496" w:type="dxa"/>
            <w:shd w:val="clear" w:color="auto" w:fill="auto"/>
            <w:vAlign w:val="center"/>
          </w:tcPr>
          <w:p w14:paraId="0B395412">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录音棚墙面吸音器</w:t>
            </w:r>
          </w:p>
        </w:tc>
        <w:tc>
          <w:tcPr>
            <w:tcW w:w="579" w:type="dxa"/>
            <w:shd w:val="clear" w:color="auto" w:fill="auto"/>
            <w:vAlign w:val="center"/>
          </w:tcPr>
          <w:p w14:paraId="239E83E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组</w:t>
            </w:r>
          </w:p>
        </w:tc>
        <w:tc>
          <w:tcPr>
            <w:tcW w:w="0" w:type="auto"/>
            <w:shd w:val="clear" w:color="auto" w:fill="auto"/>
            <w:vAlign w:val="center"/>
          </w:tcPr>
          <w:p w14:paraId="4511064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78E4D038">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防火阻燃，适配录音棚混响控制</w:t>
            </w:r>
          </w:p>
        </w:tc>
      </w:tr>
      <w:tr w14:paraId="510F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39E48E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14</w:t>
            </w:r>
          </w:p>
        </w:tc>
        <w:tc>
          <w:tcPr>
            <w:tcW w:w="2496" w:type="dxa"/>
            <w:shd w:val="clear" w:color="auto" w:fill="auto"/>
            <w:vAlign w:val="center"/>
          </w:tcPr>
          <w:p w14:paraId="632E7DC0">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录音棚墙面扩散器</w:t>
            </w:r>
          </w:p>
        </w:tc>
        <w:tc>
          <w:tcPr>
            <w:tcW w:w="579" w:type="dxa"/>
            <w:shd w:val="clear" w:color="auto" w:fill="auto"/>
            <w:vAlign w:val="center"/>
          </w:tcPr>
          <w:p w14:paraId="6078BD2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组</w:t>
            </w:r>
          </w:p>
        </w:tc>
        <w:tc>
          <w:tcPr>
            <w:tcW w:w="0" w:type="auto"/>
            <w:shd w:val="clear" w:color="auto" w:fill="auto"/>
            <w:vAlign w:val="center"/>
          </w:tcPr>
          <w:p w14:paraId="6BEE1B4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79F785B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扩散系数≥0.8，优化声场均匀度</w:t>
            </w:r>
          </w:p>
        </w:tc>
      </w:tr>
      <w:tr w14:paraId="3005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CF56AB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15</w:t>
            </w:r>
          </w:p>
        </w:tc>
        <w:tc>
          <w:tcPr>
            <w:tcW w:w="2496" w:type="dxa"/>
            <w:shd w:val="clear" w:color="auto" w:fill="auto"/>
            <w:vAlign w:val="center"/>
          </w:tcPr>
          <w:p w14:paraId="5A040825">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弱电电箱</w:t>
            </w:r>
          </w:p>
        </w:tc>
        <w:tc>
          <w:tcPr>
            <w:tcW w:w="579" w:type="dxa"/>
            <w:shd w:val="clear" w:color="auto" w:fill="auto"/>
            <w:vAlign w:val="center"/>
          </w:tcPr>
          <w:p w14:paraId="4D693716">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01349A0A">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0D74C88C">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广电级安全防护</w:t>
            </w:r>
          </w:p>
        </w:tc>
      </w:tr>
      <w:tr w14:paraId="1DF6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AF9574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16</w:t>
            </w:r>
          </w:p>
        </w:tc>
        <w:tc>
          <w:tcPr>
            <w:tcW w:w="2496" w:type="dxa"/>
            <w:shd w:val="clear" w:color="auto" w:fill="auto"/>
            <w:vAlign w:val="center"/>
          </w:tcPr>
          <w:p w14:paraId="66F715D2">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强电电箱</w:t>
            </w:r>
          </w:p>
        </w:tc>
        <w:tc>
          <w:tcPr>
            <w:tcW w:w="579" w:type="dxa"/>
            <w:shd w:val="clear" w:color="auto" w:fill="auto"/>
            <w:vAlign w:val="center"/>
          </w:tcPr>
          <w:p w14:paraId="1C506B7F">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5CCA345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05EDEF9E">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广电级安全防护</w:t>
            </w:r>
          </w:p>
        </w:tc>
      </w:tr>
      <w:tr w14:paraId="3065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FB2C03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17</w:t>
            </w:r>
          </w:p>
        </w:tc>
        <w:tc>
          <w:tcPr>
            <w:tcW w:w="2496" w:type="dxa"/>
            <w:shd w:val="clear" w:color="auto" w:fill="auto"/>
            <w:vAlign w:val="center"/>
          </w:tcPr>
          <w:p w14:paraId="6512F241">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强弱电管线分布材料与安装</w:t>
            </w:r>
          </w:p>
        </w:tc>
        <w:tc>
          <w:tcPr>
            <w:tcW w:w="579" w:type="dxa"/>
            <w:shd w:val="clear" w:color="auto" w:fill="auto"/>
            <w:vAlign w:val="center"/>
          </w:tcPr>
          <w:p w14:paraId="41F4C559">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m</w:t>
            </w:r>
            <w:r>
              <w:rPr>
                <w:rFonts w:hint="eastAsia" w:ascii="微软雅黑" w:hAnsi="微软雅黑" w:eastAsia="微软雅黑" w:cs="微软雅黑"/>
                <w:i w:val="0"/>
                <w:iCs w:val="0"/>
                <w:color w:val="000000"/>
                <w:kern w:val="0"/>
                <w:sz w:val="18"/>
                <w:szCs w:val="18"/>
                <w:u w:val="none"/>
                <w:vertAlign w:val="superscript"/>
                <w:lang w:val="en-US" w:eastAsia="zh-CN" w:bidi="ar"/>
              </w:rPr>
              <w:t>2</w:t>
            </w:r>
          </w:p>
        </w:tc>
        <w:tc>
          <w:tcPr>
            <w:tcW w:w="0" w:type="auto"/>
            <w:shd w:val="clear" w:color="auto" w:fill="auto"/>
            <w:vAlign w:val="center"/>
          </w:tcPr>
          <w:p w14:paraId="5FDDB9E7">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3216" w:type="dxa"/>
            <w:vAlign w:val="center"/>
          </w:tcPr>
          <w:p w14:paraId="18FC3EAA">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国标 PVC 穿线管+演播室专用线缆</w:t>
            </w:r>
          </w:p>
        </w:tc>
      </w:tr>
      <w:tr w14:paraId="7FDD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70BBFE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18</w:t>
            </w:r>
          </w:p>
        </w:tc>
        <w:tc>
          <w:tcPr>
            <w:tcW w:w="2496" w:type="dxa"/>
            <w:shd w:val="clear" w:color="auto" w:fill="auto"/>
            <w:vAlign w:val="center"/>
          </w:tcPr>
          <w:p w14:paraId="11361A45">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录音棚电视显示器</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34A4E6F0">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0" w:type="auto"/>
            <w:shd w:val="clear" w:color="auto" w:fill="auto"/>
            <w:vAlign w:val="center"/>
          </w:tcPr>
          <w:p w14:paraId="13589667">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1A703E98">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TCL 65寸</w:t>
            </w:r>
          </w:p>
        </w:tc>
      </w:tr>
      <w:tr w14:paraId="21B8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D78070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19</w:t>
            </w:r>
          </w:p>
        </w:tc>
        <w:tc>
          <w:tcPr>
            <w:tcW w:w="2496" w:type="dxa"/>
            <w:shd w:val="clear" w:color="auto" w:fill="auto"/>
            <w:vAlign w:val="center"/>
          </w:tcPr>
          <w:p w14:paraId="423C836C">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电视支架</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3A80E1CA">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49E1C617">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0389693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落地式</w:t>
            </w:r>
          </w:p>
        </w:tc>
      </w:tr>
      <w:tr w14:paraId="1107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40D043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20</w:t>
            </w:r>
          </w:p>
        </w:tc>
        <w:tc>
          <w:tcPr>
            <w:tcW w:w="2496" w:type="dxa"/>
            <w:shd w:val="clear" w:color="auto" w:fill="auto"/>
            <w:vAlign w:val="center"/>
          </w:tcPr>
          <w:p w14:paraId="51536291">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录音棚话筒</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5E6F449C">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支</w:t>
            </w:r>
          </w:p>
        </w:tc>
        <w:tc>
          <w:tcPr>
            <w:tcW w:w="0" w:type="auto"/>
            <w:shd w:val="clear" w:color="auto" w:fill="auto"/>
            <w:vAlign w:val="center"/>
          </w:tcPr>
          <w:p w14:paraId="5967A398">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w:t>
            </w:r>
          </w:p>
        </w:tc>
        <w:tc>
          <w:tcPr>
            <w:tcW w:w="3216" w:type="dxa"/>
            <w:vAlign w:val="center"/>
          </w:tcPr>
          <w:p w14:paraId="0B1184B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新增</w:t>
            </w:r>
          </w:p>
        </w:tc>
      </w:tr>
      <w:tr w14:paraId="6C1D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B907B2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21</w:t>
            </w:r>
          </w:p>
        </w:tc>
        <w:tc>
          <w:tcPr>
            <w:tcW w:w="2496" w:type="dxa"/>
            <w:shd w:val="clear" w:color="auto" w:fill="auto"/>
            <w:vAlign w:val="center"/>
          </w:tcPr>
          <w:p w14:paraId="6286E9BA">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录音棚话筒支架</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499267B3">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6360306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w:t>
            </w:r>
          </w:p>
        </w:tc>
        <w:tc>
          <w:tcPr>
            <w:tcW w:w="3216" w:type="dxa"/>
            <w:vAlign w:val="center"/>
          </w:tcPr>
          <w:p w14:paraId="57BF377C">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落地式</w:t>
            </w:r>
          </w:p>
        </w:tc>
      </w:tr>
      <w:tr w14:paraId="58EC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61F463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22</w:t>
            </w:r>
          </w:p>
        </w:tc>
        <w:tc>
          <w:tcPr>
            <w:tcW w:w="2496" w:type="dxa"/>
            <w:shd w:val="clear" w:color="auto" w:fill="auto"/>
            <w:vAlign w:val="center"/>
          </w:tcPr>
          <w:p w14:paraId="37BD53EC">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教室录音桌</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6E96AA8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0" w:type="auto"/>
            <w:shd w:val="clear" w:color="auto" w:fill="auto"/>
            <w:vAlign w:val="center"/>
          </w:tcPr>
          <w:p w14:paraId="5D8D64C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68D8909E">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1800*800</w:t>
            </w:r>
          </w:p>
        </w:tc>
      </w:tr>
      <w:tr w14:paraId="6D93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CED384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23</w:t>
            </w:r>
          </w:p>
        </w:tc>
        <w:tc>
          <w:tcPr>
            <w:tcW w:w="2496" w:type="dxa"/>
            <w:shd w:val="clear" w:color="auto" w:fill="auto"/>
            <w:vAlign w:val="center"/>
          </w:tcPr>
          <w:p w14:paraId="4CF35F72">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监听音响</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72DD286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022C915D">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w:t>
            </w:r>
          </w:p>
        </w:tc>
        <w:tc>
          <w:tcPr>
            <w:tcW w:w="3216" w:type="dxa"/>
            <w:vAlign w:val="center"/>
          </w:tcPr>
          <w:p w14:paraId="317E4AB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雅马哈HS</w:t>
            </w:r>
          </w:p>
        </w:tc>
      </w:tr>
      <w:tr w14:paraId="76FD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ECADDC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24</w:t>
            </w:r>
          </w:p>
        </w:tc>
        <w:tc>
          <w:tcPr>
            <w:tcW w:w="2496" w:type="dxa"/>
            <w:shd w:val="clear" w:color="auto" w:fill="auto"/>
            <w:vAlign w:val="center"/>
          </w:tcPr>
          <w:p w14:paraId="4787280F">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电脑主机</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014EDBF6">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0" w:type="auto"/>
            <w:shd w:val="clear" w:color="auto" w:fill="auto"/>
            <w:vAlign w:val="center"/>
          </w:tcPr>
          <w:p w14:paraId="16A58395">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03301DDD">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i5处理器 16G内存条 显卡4070</w:t>
            </w:r>
          </w:p>
        </w:tc>
      </w:tr>
      <w:tr w14:paraId="06D0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AC459C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25</w:t>
            </w:r>
          </w:p>
        </w:tc>
        <w:tc>
          <w:tcPr>
            <w:tcW w:w="2496" w:type="dxa"/>
            <w:shd w:val="clear" w:color="auto" w:fill="auto"/>
            <w:vAlign w:val="center"/>
          </w:tcPr>
          <w:p w14:paraId="7AD7E6C7">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电脑显示器</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1CC3DF83">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0" w:type="auto"/>
            <w:shd w:val="clear" w:color="auto" w:fill="auto"/>
            <w:vAlign w:val="center"/>
          </w:tcPr>
          <w:p w14:paraId="42F76107">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w:t>
            </w:r>
          </w:p>
        </w:tc>
        <w:tc>
          <w:tcPr>
            <w:tcW w:w="3216" w:type="dxa"/>
            <w:vAlign w:val="center"/>
          </w:tcPr>
          <w:p w14:paraId="17530E29">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27寸</w:t>
            </w:r>
          </w:p>
        </w:tc>
      </w:tr>
      <w:tr w14:paraId="57DB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F54C6C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26</w:t>
            </w:r>
          </w:p>
        </w:tc>
        <w:tc>
          <w:tcPr>
            <w:tcW w:w="2496" w:type="dxa"/>
            <w:shd w:val="clear" w:color="auto" w:fill="auto"/>
            <w:vAlign w:val="center"/>
          </w:tcPr>
          <w:p w14:paraId="04BF2095">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录音直播声卡</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3FEB48A9">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0" w:type="auto"/>
            <w:shd w:val="clear" w:color="auto" w:fill="auto"/>
            <w:vAlign w:val="center"/>
          </w:tcPr>
          <w:p w14:paraId="51A9898C">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57F85530">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雅马哈UC44C</w:t>
            </w:r>
          </w:p>
        </w:tc>
      </w:tr>
      <w:tr w14:paraId="4572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D2D6EE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27</w:t>
            </w:r>
          </w:p>
        </w:tc>
        <w:tc>
          <w:tcPr>
            <w:tcW w:w="2496" w:type="dxa"/>
            <w:shd w:val="clear" w:color="auto" w:fill="auto"/>
            <w:vAlign w:val="center"/>
          </w:tcPr>
          <w:p w14:paraId="68DFFABE">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调音台</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1C245169">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2BCCE03A">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6A3CB1B3">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雅马哈mG12Xu标配</w:t>
            </w:r>
          </w:p>
        </w:tc>
      </w:tr>
      <w:tr w14:paraId="5116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CBAB6E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28</w:t>
            </w:r>
          </w:p>
        </w:tc>
        <w:tc>
          <w:tcPr>
            <w:tcW w:w="2496" w:type="dxa"/>
            <w:shd w:val="clear" w:color="auto" w:fill="auto"/>
            <w:vAlign w:val="center"/>
          </w:tcPr>
          <w:p w14:paraId="7F40C59C">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监听耳机</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0F8E2B09">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3FA2CB6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6</w:t>
            </w:r>
          </w:p>
        </w:tc>
        <w:tc>
          <w:tcPr>
            <w:tcW w:w="3216" w:type="dxa"/>
            <w:vAlign w:val="center"/>
          </w:tcPr>
          <w:p w14:paraId="71A67288">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铁三角M20</w:t>
            </w:r>
          </w:p>
        </w:tc>
      </w:tr>
      <w:tr w14:paraId="03D9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8F5D8A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29</w:t>
            </w:r>
          </w:p>
        </w:tc>
        <w:tc>
          <w:tcPr>
            <w:tcW w:w="2496" w:type="dxa"/>
            <w:shd w:val="clear" w:color="auto" w:fill="auto"/>
            <w:vAlign w:val="center"/>
          </w:tcPr>
          <w:p w14:paraId="265A0DCE">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耳放器</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3D1D853E">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2F608AE3">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w:t>
            </w:r>
          </w:p>
        </w:tc>
        <w:tc>
          <w:tcPr>
            <w:tcW w:w="3216" w:type="dxa"/>
            <w:vAlign w:val="center"/>
          </w:tcPr>
          <w:p w14:paraId="05EADF29">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爱克创</w:t>
            </w:r>
          </w:p>
        </w:tc>
      </w:tr>
      <w:tr w14:paraId="2175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A75E8A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30</w:t>
            </w:r>
          </w:p>
        </w:tc>
        <w:tc>
          <w:tcPr>
            <w:tcW w:w="2496" w:type="dxa"/>
            <w:shd w:val="clear" w:color="auto" w:fill="auto"/>
            <w:vAlign w:val="center"/>
          </w:tcPr>
          <w:p w14:paraId="5A7BAC3F">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交流话筒</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37E79446">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2DDBFB89">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3216" w:type="dxa"/>
            <w:vAlign w:val="center"/>
          </w:tcPr>
          <w:p w14:paraId="1A6944E3">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舒尔 SM7B 动圈人声话筒</w:t>
            </w:r>
          </w:p>
        </w:tc>
      </w:tr>
      <w:tr w14:paraId="7AE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383411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31</w:t>
            </w:r>
          </w:p>
        </w:tc>
        <w:tc>
          <w:tcPr>
            <w:tcW w:w="2496" w:type="dxa"/>
            <w:shd w:val="clear" w:color="auto" w:fill="auto"/>
            <w:vAlign w:val="center"/>
          </w:tcPr>
          <w:p w14:paraId="42F52035">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带面板座椅</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4F41862F">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0" w:type="auto"/>
            <w:shd w:val="clear" w:color="auto" w:fill="auto"/>
            <w:vAlign w:val="center"/>
          </w:tcPr>
          <w:p w14:paraId="493C8724">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40</w:t>
            </w:r>
          </w:p>
        </w:tc>
        <w:tc>
          <w:tcPr>
            <w:tcW w:w="3216" w:type="dxa"/>
            <w:vAlign w:val="center"/>
          </w:tcPr>
          <w:p w14:paraId="394DD59C">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sz w:val="18"/>
                <w:szCs w:val="18"/>
              </w:rPr>
              <w:t>演播室带控制面板播音椅</w:t>
            </w:r>
          </w:p>
        </w:tc>
      </w:tr>
      <w:tr w14:paraId="3FD1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7DEC4C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32</w:t>
            </w:r>
          </w:p>
        </w:tc>
        <w:tc>
          <w:tcPr>
            <w:tcW w:w="2496" w:type="dxa"/>
            <w:shd w:val="clear" w:color="auto" w:fill="auto"/>
            <w:vAlign w:val="center"/>
          </w:tcPr>
          <w:p w14:paraId="1A187A36">
            <w:pPr>
              <w:keepNext w:val="0"/>
              <w:keepLines w:val="0"/>
              <w:widowControl/>
              <w:suppressLineNumbers w:val="0"/>
              <w:shd w:val="clear"/>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管理费</w:t>
            </w:r>
            <w:r>
              <w:rPr>
                <w:rFonts w:hint="eastAsia" w:ascii="微软雅黑" w:hAnsi="微软雅黑" w:eastAsia="微软雅黑" w:cs="微软雅黑"/>
                <w:i w:val="0"/>
                <w:iCs w:val="0"/>
                <w:color w:val="auto"/>
                <w:kern w:val="0"/>
                <w:sz w:val="18"/>
                <w:szCs w:val="18"/>
                <w:u w:val="none"/>
                <w:lang w:val="en-US" w:eastAsia="zh-CN" w:bidi="ar"/>
              </w:rPr>
              <w:t>(*)</w:t>
            </w:r>
          </w:p>
        </w:tc>
        <w:tc>
          <w:tcPr>
            <w:tcW w:w="579" w:type="dxa"/>
            <w:shd w:val="clear" w:color="auto" w:fill="auto"/>
            <w:vAlign w:val="center"/>
          </w:tcPr>
          <w:p w14:paraId="0BDEDF0B">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w:t>
            </w:r>
          </w:p>
        </w:tc>
        <w:tc>
          <w:tcPr>
            <w:tcW w:w="0" w:type="auto"/>
            <w:shd w:val="clear" w:color="auto" w:fill="auto"/>
            <w:vAlign w:val="center"/>
          </w:tcPr>
          <w:p w14:paraId="1ED2C824">
            <w:pPr>
              <w:keepNext w:val="0"/>
              <w:keepLines w:val="0"/>
              <w:widowControl/>
              <w:suppressLineNumbers w:val="0"/>
              <w:shd w:val="clear"/>
              <w:snapToGrid w:val="0"/>
              <w:ind w:left="0" w:leftChars="0" w:right="0" w:rightChars="0" w:firstLine="0" w:firstLineChars="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w:t>
            </w:r>
          </w:p>
        </w:tc>
        <w:tc>
          <w:tcPr>
            <w:tcW w:w="3216" w:type="dxa"/>
            <w:vAlign w:val="center"/>
          </w:tcPr>
          <w:p w14:paraId="64E97576">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含临时设施、成品保护、建筑垃圾外运、书架搬运人员费、施工管理费</w:t>
            </w:r>
          </w:p>
        </w:tc>
      </w:tr>
    </w:tbl>
    <w:p w14:paraId="5E1BA6BE">
      <w:pPr>
        <w:ind w:firstLine="720" w:firstLineChars="300"/>
        <w:rPr>
          <w:rFonts w:hint="eastAsia" w:ascii="Times New Roman" w:hAnsi="Times New Roman" w:eastAsia="方正小标宋_GBK" w:cs="Times New Roman"/>
          <w:highlight w:val="none"/>
          <w:lang w:val="en-US" w:eastAsia="zh-CN"/>
        </w:rPr>
      </w:pPr>
      <w:r>
        <w:rPr>
          <w:rFonts w:hint="eastAsia" w:ascii="Times New Roman" w:hAnsi="Times New Roman" w:eastAsia="方正小标宋_GBK" w:cs="Times New Roman"/>
          <w:highlight w:val="none"/>
          <w:lang w:val="en-US" w:eastAsia="zh-CN"/>
        </w:rPr>
        <w:t>注：带有(*)为必需品、不规定品牌型号，但所投产品的功能参数需要与方案中已有型号能实现的功能持平或更好；《综合演播实训室建设方案表》只是作为校方参考表，具体方案，需投标人自行现场踏勘。</w:t>
      </w:r>
    </w:p>
    <w:p w14:paraId="41DAC35C">
      <w:pPr>
        <w:rPr>
          <w:rFonts w:hint="eastAsia" w:ascii="黑体" w:hAnsi="黑体" w:eastAsia="黑体" w:cs="黑体"/>
          <w:sz w:val="28"/>
          <w:szCs w:val="28"/>
          <w:lang w:val="en-US" w:eastAsia="zh-CN"/>
        </w:rPr>
      </w:pPr>
    </w:p>
    <w:p w14:paraId="0EFC2B3D">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2.2配音艺术实训室参考效果图</w:t>
      </w:r>
    </w:p>
    <w:p w14:paraId="6AED0065">
      <w:pPr>
        <w:rPr>
          <w:rFonts w:ascii="Times New Roman" w:hAnsi="Times New Roman" w:eastAsia="方正小标宋_GBK" w:cs="Times New Roman"/>
          <w:highlight w:val="none"/>
        </w:rPr>
      </w:pPr>
      <w:r>
        <w:rPr>
          <w:rFonts w:hint="eastAsia" w:ascii="Times New Roman" w:hAnsi="Times New Roman" w:eastAsia="方正小标宋_GBK" w:cs="Times New Roman"/>
          <w:highlight w:val="none"/>
          <w:lang w:val="en-US" w:eastAsia="zh-CN"/>
        </w:rPr>
        <w:t>2.2.1实训室平面图                              2.2.2室内效果意向图</w:t>
      </w:r>
    </w:p>
    <w:p w14:paraId="34D30087">
      <w:pPr>
        <w:rPr>
          <w:rFonts w:ascii="Times New Roman" w:hAnsi="Times New Roman" w:eastAsia="方正小标宋_GBK" w:cs="Times New Roman"/>
          <w:highlight w:val="none"/>
        </w:rPr>
      </w:pPr>
      <w:r>
        <w:rPr>
          <w:rFonts w:hint="eastAsia" w:ascii="仿宋_GB2312" w:hAnsi="仿宋_GB2312" w:eastAsia="仿宋_GB2312" w:cs="仿宋_GB2312"/>
          <w:sz w:val="28"/>
          <w:szCs w:val="28"/>
          <w:lang w:val="en-US" w:eastAsia="zh-CN"/>
        </w:rPr>
        <w:drawing>
          <wp:anchor distT="0" distB="0" distL="114300" distR="114300" simplePos="0" relativeHeight="251662336" behindDoc="1" locked="0" layoutInCell="1" allowOverlap="1">
            <wp:simplePos x="0" y="0"/>
            <wp:positionH relativeFrom="column">
              <wp:posOffset>2906395</wp:posOffset>
            </wp:positionH>
            <wp:positionV relativeFrom="paragraph">
              <wp:posOffset>1905</wp:posOffset>
            </wp:positionV>
            <wp:extent cx="2987675" cy="2405380"/>
            <wp:effectExtent l="0" t="0" r="3175" b="13970"/>
            <wp:wrapTight wrapText="bothSides">
              <wp:wrapPolygon>
                <wp:start x="0" y="0"/>
                <wp:lineTo x="0" y="21383"/>
                <wp:lineTo x="21485" y="21383"/>
                <wp:lineTo x="21485" y="0"/>
                <wp:lineTo x="0" y="0"/>
              </wp:wrapPolygon>
            </wp:wrapTight>
            <wp:docPr id="3" name="图片 3" descr="5f8eb1dfc0dbe00d4462ec434ed76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f8eb1dfc0dbe00d4462ec434ed76d8"/>
                    <pic:cNvPicPr>
                      <a:picLocks noChangeAspect="1"/>
                    </pic:cNvPicPr>
                  </pic:nvPicPr>
                  <pic:blipFill>
                    <a:blip r:embed="rId8"/>
                    <a:stretch>
                      <a:fillRect/>
                    </a:stretch>
                  </pic:blipFill>
                  <pic:spPr>
                    <a:xfrm>
                      <a:off x="0" y="0"/>
                      <a:ext cx="2987675" cy="2405380"/>
                    </a:xfrm>
                    <a:prstGeom prst="rect">
                      <a:avLst/>
                    </a:prstGeom>
                  </pic:spPr>
                </pic:pic>
              </a:graphicData>
            </a:graphic>
          </wp:anchor>
        </w:drawing>
      </w:r>
      <w:r>
        <w:rPr>
          <w:rFonts w:hint="eastAsia" w:ascii="仿宋_GB2312" w:hAnsi="仿宋_GB2312" w:eastAsia="仿宋_GB2312" w:cs="仿宋_GB2312"/>
          <w:b/>
          <w:bCs/>
          <w:sz w:val="32"/>
          <w:szCs w:val="32"/>
          <w:lang w:val="en-US" w:eastAsia="zh-CN"/>
        </w:rPr>
        <w:drawing>
          <wp:anchor distT="0" distB="0" distL="114300" distR="114300" simplePos="0" relativeHeight="251661312" behindDoc="1" locked="0" layoutInCell="1" allowOverlap="1">
            <wp:simplePos x="0" y="0"/>
            <wp:positionH relativeFrom="column">
              <wp:posOffset>-632460</wp:posOffset>
            </wp:positionH>
            <wp:positionV relativeFrom="paragraph">
              <wp:posOffset>41275</wp:posOffset>
            </wp:positionV>
            <wp:extent cx="2992120" cy="2355850"/>
            <wp:effectExtent l="9525" t="9525" r="0" b="0"/>
            <wp:wrapThrough wrapText="bothSides">
              <wp:wrapPolygon>
                <wp:start x="-69" y="-87"/>
                <wp:lineTo x="-69" y="21571"/>
                <wp:lineTo x="21522" y="21571"/>
                <wp:lineTo x="21522" y="-87"/>
                <wp:lineTo x="-69" y="-87"/>
              </wp:wrapPolygon>
            </wp:wrapThrough>
            <wp:docPr id="4" name="图片 4" descr="/Users/wangxiaofeng/Library/Containers/com.kingsoft.wpsoffice.mac/Data/tmp/photoeditapp/20251023221623/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wangxiaofeng/Library/Containers/com.kingsoft.wpsoffice.mac/Data/tmp/photoeditapp/20251023221623/temp.pngtemp"/>
                    <pic:cNvPicPr>
                      <a:picLocks noChangeAspect="1"/>
                    </pic:cNvPicPr>
                  </pic:nvPicPr>
                  <pic:blipFill>
                    <a:blip r:embed="rId9"/>
                    <a:stretch>
                      <a:fillRect/>
                    </a:stretch>
                  </pic:blipFill>
                  <pic:spPr>
                    <a:xfrm>
                      <a:off x="0" y="0"/>
                      <a:ext cx="2992120" cy="2355850"/>
                    </a:xfrm>
                    <a:prstGeom prst="rect">
                      <a:avLst/>
                    </a:prstGeom>
                    <a:ln>
                      <a:solidFill>
                        <a:schemeClr val="bg1">
                          <a:lumMod val="65000"/>
                        </a:schemeClr>
                      </a:solidFill>
                    </a:ln>
                  </pic:spPr>
                </pic:pic>
              </a:graphicData>
            </a:graphic>
          </wp:anchor>
        </w:drawing>
      </w:r>
    </w:p>
    <w:p w14:paraId="7024F8E3">
      <w:pPr>
        <w:rPr>
          <w:rFonts w:ascii="Times New Roman" w:hAnsi="Times New Roman" w:eastAsia="方正小标宋_GBK" w:cs="Times New Roman"/>
          <w:highlight w:val="none"/>
        </w:rPr>
      </w:pPr>
    </w:p>
    <w:p w14:paraId="60D48B4B">
      <w:pPr>
        <w:rPr>
          <w:rFonts w:ascii="Times New Roman" w:hAnsi="Times New Roman" w:eastAsia="方正小标宋_GBK" w:cs="Times New Roman"/>
          <w:highlight w:val="none"/>
        </w:rPr>
      </w:pPr>
    </w:p>
    <w:p w14:paraId="4AAD43B4">
      <w:pPr>
        <w:rPr>
          <w:rFonts w:ascii="Times New Roman" w:hAnsi="Times New Roman" w:eastAsia="方正小标宋_GBK" w:cs="Times New Roman"/>
          <w:highlight w:val="none"/>
        </w:rPr>
      </w:pPr>
    </w:p>
    <w:p w14:paraId="11E60391">
      <w:pPr>
        <w:rPr>
          <w:rFonts w:ascii="Times New Roman" w:hAnsi="Times New Roman" w:eastAsia="方正小标宋_GBK" w:cs="Times New Roman"/>
          <w:highlight w:val="none"/>
        </w:rPr>
      </w:pPr>
    </w:p>
    <w:p w14:paraId="0126D151">
      <w:pPr>
        <w:rPr>
          <w:rFonts w:ascii="Times New Roman" w:hAnsi="Times New Roman" w:eastAsia="方正小标宋_GBK" w:cs="Times New Roman"/>
          <w:highlight w:val="none"/>
        </w:rPr>
      </w:pPr>
    </w:p>
    <w:p w14:paraId="5E200A4E">
      <w:pPr>
        <w:rPr>
          <w:rFonts w:ascii="Times New Roman" w:hAnsi="Times New Roman" w:eastAsia="方正小标宋_GBK" w:cs="Times New Roman"/>
          <w:highlight w:val="none"/>
        </w:rPr>
      </w:pPr>
    </w:p>
    <w:p w14:paraId="35142D3F">
      <w:pPr>
        <w:rPr>
          <w:rFonts w:ascii="Times New Roman" w:hAnsi="Times New Roman" w:eastAsia="方正小标宋_GBK" w:cs="Times New Roman"/>
          <w:highlight w:val="none"/>
        </w:rPr>
      </w:pPr>
    </w:p>
    <w:p w14:paraId="6842F1BD">
      <w:pPr>
        <w:rPr>
          <w:rFonts w:ascii="Times New Roman" w:hAnsi="Times New Roman" w:eastAsia="方正小标宋_GBK" w:cs="Times New Roman"/>
          <w:highlight w:val="none"/>
        </w:rPr>
      </w:pPr>
    </w:p>
    <w:p w14:paraId="59871094">
      <w:pPr>
        <w:rPr>
          <w:rFonts w:ascii="Times New Roman" w:hAnsi="Times New Roman" w:eastAsia="方正小标宋_GBK" w:cs="Times New Roman"/>
          <w:highlight w:val="none"/>
        </w:rPr>
      </w:pPr>
    </w:p>
    <w:p w14:paraId="7395DC97">
      <w:pPr>
        <w:rPr>
          <w:rFonts w:ascii="Times New Roman" w:hAnsi="Times New Roman" w:eastAsia="方正小标宋_GBK" w:cs="Times New Roman"/>
          <w:highlight w:val="none"/>
        </w:rPr>
      </w:pPr>
    </w:p>
    <w:p w14:paraId="59D6FB80">
      <w:pPr>
        <w:rPr>
          <w:rFonts w:ascii="Times New Roman" w:hAnsi="Times New Roman" w:eastAsia="方正小标宋_GBK" w:cs="Times New Roman"/>
          <w:highlight w:val="none"/>
        </w:rPr>
      </w:pPr>
    </w:p>
    <w:p w14:paraId="6989C60D">
      <w:pPr>
        <w:rPr>
          <w:rFonts w:ascii="Times New Roman" w:hAnsi="Times New Roman" w:eastAsia="方正小标宋_GBK" w:cs="Times New Roman"/>
          <w:highlight w:val="none"/>
        </w:rPr>
      </w:pPr>
    </w:p>
    <w:p w14:paraId="678016E1">
      <w:pPr>
        <w:rPr>
          <w:rFonts w:ascii="Times New Roman" w:hAnsi="Times New Roman" w:eastAsia="方正小标宋_GBK" w:cs="Times New Roman"/>
          <w:highlight w:val="none"/>
        </w:rPr>
      </w:pPr>
    </w:p>
    <w:p w14:paraId="02206A6A">
      <w:pPr>
        <w:rPr>
          <w:rFonts w:ascii="Times New Roman" w:hAnsi="Times New Roman" w:eastAsia="方正小标宋_GBK" w:cs="Times New Roman"/>
          <w:highlight w:val="none"/>
        </w:rPr>
      </w:pPr>
    </w:p>
    <w:p w14:paraId="4C95DD3C">
      <w:pPr>
        <w:rPr>
          <w:rFonts w:hint="eastAsia" w:ascii="Times New Roman" w:hAnsi="Times New Roman" w:eastAsia="方正小标宋_GBK" w:cs="Times New Roman"/>
          <w:highlight w:val="none"/>
          <w:lang w:val="en-US" w:eastAsia="zh-CN"/>
        </w:rPr>
      </w:pPr>
      <w:r>
        <w:rPr>
          <w:rFonts w:hint="eastAsia" w:ascii="Times New Roman" w:hAnsi="Times New Roman" w:eastAsia="方正小标宋_GBK" w:cs="Times New Roman"/>
          <w:highlight w:val="none"/>
          <w:lang w:val="en-US" w:eastAsia="zh-CN"/>
        </w:rPr>
        <w:t>2.2.3格子间外观意向图                         2.2.4控制台布局意向图</w:t>
      </w:r>
    </w:p>
    <w:p w14:paraId="0B4BE72E">
      <w:pPr>
        <w:rPr>
          <w:rFonts w:hint="default" w:ascii="Times New Roman" w:hAnsi="Times New Roman" w:eastAsia="方正小标宋_GBK" w:cs="Times New Roman"/>
          <w:highlight w:val="none"/>
          <w:lang w:val="en-US" w:eastAsia="zh-CN"/>
        </w:rPr>
      </w:pPr>
      <w:r>
        <w:rPr>
          <w:rFonts w:hint="eastAsia"/>
          <w:sz w:val="28"/>
          <w:szCs w:val="28"/>
          <w:lang w:val="en-US" w:eastAsia="zh-CN"/>
        </w:rPr>
        <w:drawing>
          <wp:anchor distT="0" distB="0" distL="114300" distR="114300" simplePos="0" relativeHeight="251664384" behindDoc="1" locked="0" layoutInCell="1" allowOverlap="1">
            <wp:simplePos x="0" y="0"/>
            <wp:positionH relativeFrom="column">
              <wp:posOffset>2922905</wp:posOffset>
            </wp:positionH>
            <wp:positionV relativeFrom="paragraph">
              <wp:posOffset>41910</wp:posOffset>
            </wp:positionV>
            <wp:extent cx="2981325" cy="2594610"/>
            <wp:effectExtent l="0" t="0" r="0" b="0"/>
            <wp:wrapThrough wrapText="bothSides">
              <wp:wrapPolygon>
                <wp:start x="0" y="0"/>
                <wp:lineTo x="0" y="21410"/>
                <wp:lineTo x="21531" y="21410"/>
                <wp:lineTo x="21531" y="0"/>
                <wp:lineTo x="0" y="0"/>
              </wp:wrapPolygon>
            </wp:wrapThrough>
            <wp:docPr id="7" name="图片 7" descr="48191ad72dd87483d1b51b447d957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8191ad72dd87483d1b51b447d957c8"/>
                    <pic:cNvPicPr>
                      <a:picLocks noChangeAspect="1"/>
                    </pic:cNvPicPr>
                  </pic:nvPicPr>
                  <pic:blipFill>
                    <a:blip r:embed="rId10"/>
                    <a:stretch>
                      <a:fillRect/>
                    </a:stretch>
                  </pic:blipFill>
                  <pic:spPr>
                    <a:xfrm>
                      <a:off x="0" y="0"/>
                      <a:ext cx="2981325" cy="2594610"/>
                    </a:xfrm>
                    <a:prstGeom prst="rect">
                      <a:avLst/>
                    </a:prstGeom>
                  </pic:spPr>
                </pic:pic>
              </a:graphicData>
            </a:graphic>
          </wp:anchor>
        </w:drawing>
      </w:r>
      <w:r>
        <w:rPr>
          <w:rFonts w:hint="eastAsia"/>
          <w:sz w:val="28"/>
          <w:szCs w:val="28"/>
          <w:lang w:val="en-US" w:eastAsia="zh-CN"/>
        </w:rPr>
        <w:drawing>
          <wp:anchor distT="0" distB="0" distL="114300" distR="114300" simplePos="0" relativeHeight="251663360" behindDoc="1" locked="0" layoutInCell="1" allowOverlap="1">
            <wp:simplePos x="0" y="0"/>
            <wp:positionH relativeFrom="column">
              <wp:posOffset>-631825</wp:posOffset>
            </wp:positionH>
            <wp:positionV relativeFrom="paragraph">
              <wp:posOffset>26670</wp:posOffset>
            </wp:positionV>
            <wp:extent cx="2996565" cy="2577465"/>
            <wp:effectExtent l="0" t="0" r="32385" b="51435"/>
            <wp:wrapThrough wrapText="bothSides">
              <wp:wrapPolygon>
                <wp:start x="0" y="0"/>
                <wp:lineTo x="0" y="21392"/>
                <wp:lineTo x="21421" y="21392"/>
                <wp:lineTo x="21421" y="0"/>
                <wp:lineTo x="0" y="0"/>
              </wp:wrapPolygon>
            </wp:wrapThrough>
            <wp:docPr id="2" name="图片 2" descr="3e0062e67bf65f33e600422e0b27c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e0062e67bf65f33e600422e0b27c92"/>
                    <pic:cNvPicPr>
                      <a:picLocks noChangeAspect="1"/>
                    </pic:cNvPicPr>
                  </pic:nvPicPr>
                  <pic:blipFill>
                    <a:blip r:embed="rId11"/>
                    <a:stretch>
                      <a:fillRect/>
                    </a:stretch>
                  </pic:blipFill>
                  <pic:spPr>
                    <a:xfrm>
                      <a:off x="0" y="0"/>
                      <a:ext cx="2996565" cy="2577465"/>
                    </a:xfrm>
                    <a:prstGeom prst="rect">
                      <a:avLst/>
                    </a:prstGeom>
                  </pic:spPr>
                </pic:pic>
              </a:graphicData>
            </a:graphic>
          </wp:anchor>
        </w:drawing>
      </w:r>
    </w:p>
    <w:p w14:paraId="27A4519E">
      <w:pPr>
        <w:rPr>
          <w:rFonts w:hint="eastAsia" w:ascii="Times New Roman" w:hAnsi="Times New Roman" w:eastAsia="方正小标宋_GBK" w:cs="Times New Roman"/>
          <w:highlight w:val="none"/>
          <w:lang w:val="en-US" w:eastAsia="zh-CN"/>
        </w:rPr>
      </w:pPr>
    </w:p>
    <w:p w14:paraId="5A06E1AA">
      <w:pPr>
        <w:rPr>
          <w:rFonts w:hint="eastAsia" w:ascii="Times New Roman" w:hAnsi="Times New Roman" w:eastAsia="方正小标宋_GBK" w:cs="Times New Roman"/>
          <w:highlight w:val="none"/>
          <w:lang w:val="en-US" w:eastAsia="zh-CN"/>
        </w:rPr>
      </w:pPr>
    </w:p>
    <w:p w14:paraId="2F0E8DBA">
      <w:pPr>
        <w:rPr>
          <w:rFonts w:hint="eastAsia" w:ascii="Times New Roman" w:hAnsi="Times New Roman" w:eastAsia="方正小标宋_GBK" w:cs="Times New Roman"/>
          <w:highlight w:val="none"/>
          <w:lang w:val="en-US" w:eastAsia="zh-CN"/>
        </w:rPr>
      </w:pPr>
    </w:p>
    <w:p w14:paraId="2F59B614">
      <w:pPr>
        <w:rPr>
          <w:rFonts w:hint="eastAsia" w:ascii="Times New Roman" w:hAnsi="Times New Roman" w:eastAsia="方正小标宋_GBK" w:cs="Times New Roman"/>
          <w:highlight w:val="none"/>
          <w:lang w:val="en-US" w:eastAsia="zh-CN"/>
        </w:rPr>
      </w:pPr>
    </w:p>
    <w:p w14:paraId="44105615">
      <w:pPr>
        <w:rPr>
          <w:rFonts w:hint="eastAsia" w:ascii="Times New Roman" w:hAnsi="Times New Roman" w:eastAsia="方正小标宋_GBK" w:cs="Times New Roman"/>
          <w:highlight w:val="none"/>
          <w:lang w:val="en-US" w:eastAsia="zh-CN"/>
        </w:rPr>
      </w:pPr>
    </w:p>
    <w:p w14:paraId="77B9F135">
      <w:pPr>
        <w:rPr>
          <w:rFonts w:hint="default" w:ascii="Times New Roman" w:hAnsi="Times New Roman" w:eastAsia="方正小标宋_GBK" w:cs="Times New Roman"/>
          <w:highlight w:val="none"/>
          <w:lang w:val="en-US" w:eastAsia="zh-CN"/>
        </w:rPr>
      </w:pPr>
    </w:p>
    <w:p w14:paraId="1D424890">
      <w:pPr>
        <w:rPr>
          <w:rFonts w:ascii="Times New Roman" w:hAnsi="Times New Roman" w:eastAsia="方正小标宋_GBK" w:cs="Times New Roman"/>
          <w:highlight w:val="none"/>
        </w:rPr>
      </w:pPr>
    </w:p>
    <w:p w14:paraId="01E79209">
      <w:pPr>
        <w:rPr>
          <w:rFonts w:ascii="Times New Roman" w:hAnsi="Times New Roman" w:eastAsia="方正小标宋_GBK" w:cs="Times New Roman"/>
          <w:highlight w:val="none"/>
        </w:rPr>
      </w:pPr>
    </w:p>
    <w:p w14:paraId="5C4918A5">
      <w:pPr>
        <w:rPr>
          <w:rFonts w:ascii="Times New Roman" w:hAnsi="Times New Roman" w:eastAsia="方正小标宋_GBK" w:cs="Times New Roman"/>
          <w:highlight w:val="none"/>
        </w:rPr>
      </w:pPr>
    </w:p>
    <w:p w14:paraId="5B782BDB">
      <w:pPr>
        <w:rPr>
          <w:rFonts w:ascii="Times New Roman" w:hAnsi="Times New Roman" w:eastAsia="方正小标宋_GBK" w:cs="Times New Roman"/>
          <w:highlight w:val="none"/>
        </w:rPr>
      </w:pPr>
    </w:p>
    <w:p w14:paraId="496BAB87">
      <w:pPr>
        <w:rPr>
          <w:rFonts w:ascii="Times New Roman" w:hAnsi="Times New Roman" w:eastAsia="方正小标宋_GBK" w:cs="Times New Roman"/>
          <w:highlight w:val="none"/>
        </w:rPr>
      </w:pPr>
    </w:p>
    <w:p w14:paraId="0682ACEC">
      <w:pPr>
        <w:rPr>
          <w:rFonts w:ascii="Times New Roman" w:hAnsi="Times New Roman" w:eastAsia="方正小标宋_GBK" w:cs="Times New Roman"/>
          <w:highlight w:val="none"/>
        </w:rPr>
      </w:pPr>
    </w:p>
    <w:p w14:paraId="0906950D">
      <w:pPr>
        <w:rPr>
          <w:rFonts w:ascii="Times New Roman" w:hAnsi="Times New Roman" w:eastAsia="方正小标宋_GBK" w:cs="Times New Roman"/>
          <w:highlight w:val="none"/>
        </w:rPr>
      </w:pPr>
    </w:p>
    <w:p w14:paraId="6A4EB7DB">
      <w:pPr>
        <w:rPr>
          <w:rFonts w:ascii="Times New Roman" w:hAnsi="Times New Roman" w:eastAsia="方正小标宋_GBK" w:cs="Times New Roman"/>
          <w:highlight w:val="none"/>
        </w:rPr>
      </w:pPr>
    </w:p>
    <w:p w14:paraId="3F2D1820">
      <w:pPr>
        <w:rPr>
          <w:rFonts w:hint="eastAsia" w:ascii="Times New Roman" w:hAnsi="Times New Roman" w:eastAsia="方正小标宋_GBK" w:cs="Times New Roman"/>
          <w:highlight w:val="none"/>
          <w:lang w:val="en-US" w:eastAsia="zh-CN"/>
        </w:rPr>
      </w:pPr>
      <w:r>
        <w:rPr>
          <w:rFonts w:hint="eastAsia" w:ascii="Times New Roman" w:hAnsi="Times New Roman" w:eastAsia="方正小标宋_GBK" w:cs="Times New Roman"/>
          <w:highlight w:val="none"/>
          <w:lang w:val="en-US" w:eastAsia="zh-CN"/>
        </w:rPr>
        <w:t xml:space="preserve"> </w:t>
      </w:r>
    </w:p>
    <w:p w14:paraId="0C6514F6">
      <w:pPr>
        <w:rPr>
          <w:rFonts w:hint="default" w:ascii="Times New Roman" w:hAnsi="Times New Roman" w:eastAsia="方正小标宋_GBK" w:cs="Times New Roman"/>
          <w:highlight w:val="none"/>
          <w:lang w:val="en-US" w:eastAsia="zh-CN"/>
        </w:rPr>
      </w:pPr>
      <w:r>
        <w:rPr>
          <w:rFonts w:hint="eastAsia"/>
          <w:sz w:val="28"/>
          <w:szCs w:val="28"/>
          <w:lang w:val="en-US" w:eastAsia="zh-CN"/>
        </w:rPr>
        <w:drawing>
          <wp:anchor distT="0" distB="0" distL="114300" distR="114300" simplePos="0" relativeHeight="251665408" behindDoc="1" locked="0" layoutInCell="1" allowOverlap="1">
            <wp:simplePos x="0" y="0"/>
            <wp:positionH relativeFrom="column">
              <wp:posOffset>130175</wp:posOffset>
            </wp:positionH>
            <wp:positionV relativeFrom="paragraph">
              <wp:posOffset>314960</wp:posOffset>
            </wp:positionV>
            <wp:extent cx="1270000" cy="2327910"/>
            <wp:effectExtent l="0" t="0" r="6350" b="15240"/>
            <wp:wrapThrough wrapText="bothSides">
              <wp:wrapPolygon>
                <wp:start x="0" y="0"/>
                <wp:lineTo x="0" y="21388"/>
                <wp:lineTo x="21384" y="21388"/>
                <wp:lineTo x="21384" y="0"/>
                <wp:lineTo x="0" y="0"/>
              </wp:wrapPolygon>
            </wp:wrapThrough>
            <wp:docPr id="6" name="图片 6" descr="d63df3c95ce2b5c7b37aaedd2fd8d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63df3c95ce2b5c7b37aaedd2fd8d77"/>
                    <pic:cNvPicPr>
                      <a:picLocks noChangeAspect="1"/>
                    </pic:cNvPicPr>
                  </pic:nvPicPr>
                  <pic:blipFill>
                    <a:blip r:embed="rId12"/>
                    <a:stretch>
                      <a:fillRect/>
                    </a:stretch>
                  </pic:blipFill>
                  <pic:spPr>
                    <a:xfrm>
                      <a:off x="0" y="0"/>
                      <a:ext cx="1270000" cy="2327910"/>
                    </a:xfrm>
                    <a:prstGeom prst="rect">
                      <a:avLst/>
                    </a:prstGeom>
                  </pic:spPr>
                </pic:pic>
              </a:graphicData>
            </a:graphic>
          </wp:anchor>
        </w:drawing>
      </w:r>
      <w:r>
        <w:rPr>
          <w:rFonts w:hint="eastAsia" w:ascii="Times New Roman" w:hAnsi="Times New Roman" w:eastAsia="方正小标宋_GBK" w:cs="Times New Roman"/>
          <w:highlight w:val="none"/>
          <w:lang w:val="en-US" w:eastAsia="zh-CN"/>
        </w:rPr>
        <w:t xml:space="preserve">2.2.5过道端景示意图                           2.2.6 转角观察孔示意图 </w:t>
      </w:r>
    </w:p>
    <w:p w14:paraId="3B251336">
      <w:pPr>
        <w:pStyle w:val="2"/>
        <w:numPr>
          <w:ilvl w:val="0"/>
          <w:numId w:val="0"/>
        </w:numPr>
        <w:spacing w:before="0" w:after="0" w:line="520" w:lineRule="exact"/>
        <w:jc w:val="both"/>
        <w:rPr>
          <w:rFonts w:ascii="Times New Roman" w:hAnsi="Times New Roman" w:eastAsia="方正小标宋_GBK" w:cs="Times New Roman"/>
          <w:highlight w:val="none"/>
        </w:rPr>
      </w:pPr>
      <w:r>
        <w:rPr>
          <w:rFonts w:hint="eastAsia" w:ascii="仿宋_GB2312" w:hAnsi="仿宋_GB2312" w:eastAsia="仿宋_GB2312" w:cs="仿宋_GB2312"/>
          <w:b/>
          <w:bCs/>
          <w:sz w:val="32"/>
          <w:szCs w:val="32"/>
          <w:lang w:val="en-US" w:eastAsia="zh-CN"/>
        </w:rPr>
        <w:drawing>
          <wp:anchor distT="0" distB="0" distL="114300" distR="114300" simplePos="0" relativeHeight="251666432" behindDoc="1" locked="0" layoutInCell="1" allowOverlap="1">
            <wp:simplePos x="0" y="0"/>
            <wp:positionH relativeFrom="column">
              <wp:posOffset>1397635</wp:posOffset>
            </wp:positionH>
            <wp:positionV relativeFrom="paragraph">
              <wp:posOffset>-13335</wp:posOffset>
            </wp:positionV>
            <wp:extent cx="2941955" cy="2207260"/>
            <wp:effectExtent l="0" t="0" r="0" b="0"/>
            <wp:wrapThrough wrapText="bothSides">
              <wp:wrapPolygon>
                <wp:start x="0" y="0"/>
                <wp:lineTo x="0" y="21438"/>
                <wp:lineTo x="21400" y="21438"/>
                <wp:lineTo x="21400" y="0"/>
                <wp:lineTo x="0" y="0"/>
              </wp:wrapPolygon>
            </wp:wrapThrough>
            <wp:docPr id="8" name="图片 8" descr="fc7e7d6a6a0b4ac73e86bfbcd235d8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c7e7d6a6a0b4ac73e86bfbcd235d8f7"/>
                    <pic:cNvPicPr>
                      <a:picLocks noChangeAspect="1"/>
                    </pic:cNvPicPr>
                  </pic:nvPicPr>
                  <pic:blipFill>
                    <a:blip r:embed="rId13"/>
                    <a:stretch>
                      <a:fillRect/>
                    </a:stretch>
                  </pic:blipFill>
                  <pic:spPr>
                    <a:xfrm>
                      <a:off x="0" y="0"/>
                      <a:ext cx="2941955" cy="2207260"/>
                    </a:xfrm>
                    <a:prstGeom prst="rect">
                      <a:avLst/>
                    </a:prstGeom>
                  </pic:spPr>
                </pic:pic>
              </a:graphicData>
            </a:graphic>
          </wp:anchor>
        </w:drawing>
      </w:r>
    </w:p>
    <w:p w14:paraId="652892E8">
      <w:p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r>
        <w:rPr>
          <w:rFonts w:ascii="Times New Roman" w:hAnsi="Times New Roman" w:eastAsia="方正小标宋_GBK" w:cs="Times New Roman"/>
          <w:highlight w:val="none"/>
        </w:rPr>
        <w:t>第四章 评标原则</w:t>
      </w:r>
    </w:p>
    <w:p w14:paraId="7C72D575">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18" w:name="_Toc531594799"/>
      <w:bookmarkStart w:id="219" w:name="_Toc454373093"/>
      <w:bookmarkStart w:id="220" w:name="_Toc481694471"/>
      <w:bookmarkStart w:id="221" w:name="_Toc484637076"/>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本项目采用综合评标法，在满足招标文件全部实质性要求的条件下，综合考虑有效投标文件的报价、售后服务、公司实力等因素，择优确定中标候选人。</w:t>
      </w: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30CF133A">
      <w:pPr>
        <w:pStyle w:val="2"/>
        <w:numPr>
          <w:ilvl w:val="0"/>
          <w:numId w:val="0"/>
        </w:numPr>
        <w:spacing w:before="0" w:after="0" w:line="520" w:lineRule="exact"/>
        <w:jc w:val="both"/>
        <w:rPr>
          <w:rFonts w:hint="default" w:ascii="方正小标宋_GBK" w:hAnsi="方正小标宋_GBK" w:eastAsia="方正小标宋_GBK" w:cs="方正小标宋_GBK"/>
          <w:b w:val="0"/>
          <w:bCs w:val="0"/>
          <w:highlight w:val="none"/>
          <w:lang w:val="en-US" w:eastAsia="zh-CN"/>
        </w:rPr>
      </w:pPr>
      <w:bookmarkStart w:id="222" w:name="_第五章 投标文件格式"/>
    </w:p>
    <w:p w14:paraId="18268B0B">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475C8419">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799566F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18"/>
      <w:bookmarkEnd w:id="219"/>
      <w:bookmarkEnd w:id="220"/>
      <w:bookmarkEnd w:id="221"/>
    </w:p>
    <w:bookmarkEnd w:id="222"/>
    <w:p w14:paraId="38EC56DA">
      <w:pPr>
        <w:spacing w:line="520" w:lineRule="exact"/>
        <w:rPr>
          <w:rFonts w:hint="eastAsia" w:ascii="仿宋" w:hAnsi="仿宋" w:eastAsia="仿宋" w:cs="仿宋"/>
          <w:b/>
          <w:sz w:val="28"/>
          <w:szCs w:val="28"/>
          <w:highlight w:val="none"/>
        </w:rPr>
      </w:pPr>
      <w:bookmarkStart w:id="223" w:name="_Toc217446082"/>
      <w:bookmarkStart w:id="224" w:name="_Toc425408086"/>
      <w:r>
        <w:rPr>
          <w:rFonts w:hint="eastAsia" w:ascii="仿宋" w:hAnsi="仿宋" w:eastAsia="仿宋" w:cs="仿宋"/>
          <w:b/>
          <w:sz w:val="28"/>
          <w:szCs w:val="28"/>
          <w:highlight w:val="none"/>
        </w:rPr>
        <w:t>一、投 标 函</w:t>
      </w:r>
      <w:bookmarkEnd w:id="223"/>
      <w:bookmarkEnd w:id="224"/>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日内完成项目的安装、调试，并交付采购人验收、使用。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225" w:name="_Toc425408087"/>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25"/>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025BA030">
      <w:pPr>
        <w:spacing w:line="500" w:lineRule="exact"/>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请列出技术偏离情况表</w:t>
      </w:r>
    </w:p>
    <w:p w14:paraId="4EFCF68E">
      <w:pPr>
        <w:spacing w:line="500" w:lineRule="exact"/>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请列出投标分项报价表</w:t>
      </w:r>
    </w:p>
    <w:p w14:paraId="09FEC5B1">
      <w:pPr>
        <w:spacing w:line="500" w:lineRule="exact"/>
        <w:rPr>
          <w:rFonts w:hint="default" w:ascii="仿宋" w:hAnsi="仿宋" w:eastAsia="仿宋" w:cs="仿宋"/>
          <w:b/>
          <w:bCs/>
          <w:color w:val="0000FF"/>
          <w:kern w:val="0"/>
          <w:sz w:val="28"/>
          <w:szCs w:val="28"/>
          <w:highlight w:val="none"/>
          <w:lang w:val="en-US" w:eastAsia="zh-CN"/>
        </w:rPr>
      </w:pPr>
    </w:p>
    <w:p w14:paraId="101CF555">
      <w:pPr>
        <w:spacing w:line="500" w:lineRule="exact"/>
        <w:rPr>
          <w:rFonts w:hint="eastAsia" w:asciiTheme="minorEastAsia" w:hAnsiTheme="minorEastAsia" w:eastAsiaTheme="minorEastAsia"/>
          <w:bCs/>
          <w:szCs w:val="28"/>
          <w:highlight w:val="none"/>
        </w:rPr>
      </w:pP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25567C66">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4"/>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bookmarkStart w:id="226" w:name="_GoBack"/>
      <w:bookmarkEnd w:id="226"/>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61AFFF5E">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4．投标人具有音视频及演播设备供货、安装调试经验，具备专业音频设备安装调试及录音棚声学装修工程实施经验。</w:t>
      </w:r>
    </w:p>
    <w:p w14:paraId="2827DE1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5．投标人有高校实训室/演播室、录音棚建设相关业绩优先；</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7．投标人具有完善的质量保证和售后服务体系；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8．本项目不接受联合体投标。</w:t>
      </w:r>
    </w:p>
    <w:p w14:paraId="0FC84CD2">
      <w:pPr>
        <w:spacing w:line="520" w:lineRule="exact"/>
        <w:rPr>
          <w:rFonts w:hint="eastAsia" w:ascii="仿宋" w:hAnsi="仿宋" w:eastAsia="仿宋" w:cs="仿宋"/>
          <w:sz w:val="28"/>
          <w:szCs w:val="28"/>
          <w:highlight w:val="none"/>
        </w:rPr>
      </w:pPr>
    </w:p>
    <w:p w14:paraId="58AB4191">
      <w:pPr>
        <w:spacing w:line="520" w:lineRule="exact"/>
        <w:rPr>
          <w:rFonts w:hint="eastAsia" w:ascii="仿宋" w:hAnsi="仿宋" w:eastAsia="仿宋" w:cs="仿宋"/>
          <w:sz w:val="28"/>
          <w:szCs w:val="28"/>
          <w:highlight w:val="none"/>
        </w:rPr>
      </w:pPr>
    </w:p>
    <w:p w14:paraId="3CFF42D3">
      <w:pPr>
        <w:spacing w:line="520" w:lineRule="exact"/>
        <w:rPr>
          <w:rFonts w:hint="eastAsia" w:ascii="仿宋" w:hAnsi="仿宋" w:eastAsia="仿宋" w:cs="仿宋"/>
          <w:sz w:val="28"/>
          <w:szCs w:val="28"/>
          <w:highlight w:val="none"/>
        </w:rPr>
      </w:pP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4B07A3D0">
      <w:pPr>
        <w:numPr>
          <w:ilvl w:val="0"/>
          <w:numId w:val="15"/>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69AF9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33F0105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334049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CF54E"/>
    <w:multiLevelType w:val="singleLevel"/>
    <w:tmpl w:val="89FCF54E"/>
    <w:lvl w:ilvl="0" w:tentative="0">
      <w:start w:val="1"/>
      <w:numFmt w:val="decimal"/>
      <w:lvlText w:val="%1."/>
      <w:lvlJc w:val="left"/>
      <w:pPr>
        <w:tabs>
          <w:tab w:val="left" w:pos="312"/>
        </w:tabs>
      </w:pPr>
    </w:lvl>
  </w:abstractNum>
  <w:abstractNum w:abstractNumId="1">
    <w:nsid w:val="BF34C658"/>
    <w:multiLevelType w:val="singleLevel"/>
    <w:tmpl w:val="BF34C658"/>
    <w:lvl w:ilvl="0" w:tentative="0">
      <w:start w:val="1"/>
      <w:numFmt w:val="decimal"/>
      <w:suff w:val="space"/>
      <w:lvlText w:val="%1."/>
      <w:lvlJc w:val="left"/>
    </w:lvl>
  </w:abstractNum>
  <w:abstractNum w:abstractNumId="2">
    <w:nsid w:val="E6826807"/>
    <w:multiLevelType w:val="singleLevel"/>
    <w:tmpl w:val="E6826807"/>
    <w:lvl w:ilvl="0" w:tentative="0">
      <w:start w:val="12"/>
      <w:numFmt w:val="chineseCounting"/>
      <w:suff w:val="nothing"/>
      <w:lvlText w:val="%1、"/>
      <w:lvlJc w:val="left"/>
      <w:rPr>
        <w:rFonts w:hint="eastAsia"/>
      </w:rPr>
    </w:lvl>
  </w:abstractNum>
  <w:abstractNum w:abstractNumId="3">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4">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5">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3F1903A2"/>
    <w:multiLevelType w:val="singleLevel"/>
    <w:tmpl w:val="3F1903A2"/>
    <w:lvl w:ilvl="0" w:tentative="0">
      <w:start w:val="1"/>
      <w:numFmt w:val="chineseCounting"/>
      <w:suff w:val="nothing"/>
      <w:lvlText w:val="%1、"/>
      <w:lvlJc w:val="left"/>
      <w:rPr>
        <w:rFonts w:hint="eastAsia"/>
      </w:rPr>
    </w:lvl>
  </w:abstractNum>
  <w:abstractNum w:abstractNumId="8">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58AD9549"/>
    <w:multiLevelType w:val="singleLevel"/>
    <w:tmpl w:val="58AD9549"/>
    <w:lvl w:ilvl="0" w:tentative="0">
      <w:start w:val="3"/>
      <w:numFmt w:val="decimal"/>
      <w:lvlText w:val="%1."/>
      <w:lvlJc w:val="left"/>
      <w:pPr>
        <w:tabs>
          <w:tab w:val="left" w:pos="312"/>
        </w:tabs>
      </w:pPr>
    </w:lvl>
  </w:abstractNum>
  <w:abstractNum w:abstractNumId="10">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2">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76DB1815"/>
    <w:multiLevelType w:val="singleLevel"/>
    <w:tmpl w:val="76DB1815"/>
    <w:lvl w:ilvl="0" w:tentative="0">
      <w:start w:val="6"/>
      <w:numFmt w:val="chineseCounting"/>
      <w:suff w:val="nothing"/>
      <w:lvlText w:val="%1、"/>
      <w:lvlJc w:val="left"/>
      <w:rPr>
        <w:rFonts w:hint="eastAsia"/>
      </w:rPr>
    </w:lvl>
  </w:abstractNum>
  <w:abstractNum w:abstractNumId="14">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4"/>
  </w:num>
  <w:num w:numId="3">
    <w:abstractNumId w:val="3"/>
  </w:num>
  <w:num w:numId="4">
    <w:abstractNumId w:val="10"/>
  </w:num>
  <w:num w:numId="5">
    <w:abstractNumId w:val="12"/>
  </w:num>
  <w:num w:numId="6">
    <w:abstractNumId w:val="8"/>
  </w:num>
  <w:num w:numId="7">
    <w:abstractNumId w:val="11"/>
  </w:num>
  <w:num w:numId="8">
    <w:abstractNumId w:val="6"/>
  </w:num>
  <w:num w:numId="9">
    <w:abstractNumId w:val="14"/>
  </w:num>
  <w:num w:numId="10">
    <w:abstractNumId w:val="9"/>
  </w:num>
  <w:num w:numId="11">
    <w:abstractNumId w:val="0"/>
  </w:num>
  <w:num w:numId="12">
    <w:abstractNumId w:val="7"/>
  </w:num>
  <w:num w:numId="13">
    <w:abstractNumId w:val="1"/>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52B76"/>
    <w:rsid w:val="02DB4857"/>
    <w:rsid w:val="032B0404"/>
    <w:rsid w:val="033B2D46"/>
    <w:rsid w:val="03433CC0"/>
    <w:rsid w:val="03541CED"/>
    <w:rsid w:val="0367592F"/>
    <w:rsid w:val="037C1244"/>
    <w:rsid w:val="037D6E4A"/>
    <w:rsid w:val="040D6D19"/>
    <w:rsid w:val="045A67DF"/>
    <w:rsid w:val="045D2E23"/>
    <w:rsid w:val="04612981"/>
    <w:rsid w:val="04617C78"/>
    <w:rsid w:val="0492290C"/>
    <w:rsid w:val="04973A9F"/>
    <w:rsid w:val="04EA03AB"/>
    <w:rsid w:val="04F548E2"/>
    <w:rsid w:val="04FC2660"/>
    <w:rsid w:val="053E6976"/>
    <w:rsid w:val="06862B05"/>
    <w:rsid w:val="06BB7499"/>
    <w:rsid w:val="072A4BA6"/>
    <w:rsid w:val="078C5B91"/>
    <w:rsid w:val="07CC0BA8"/>
    <w:rsid w:val="07FE6B2C"/>
    <w:rsid w:val="07FF48C8"/>
    <w:rsid w:val="081728F0"/>
    <w:rsid w:val="081B1AD6"/>
    <w:rsid w:val="081D7E86"/>
    <w:rsid w:val="08610CD7"/>
    <w:rsid w:val="088C034D"/>
    <w:rsid w:val="08AA0E57"/>
    <w:rsid w:val="08AC078D"/>
    <w:rsid w:val="08B421A7"/>
    <w:rsid w:val="09004AA0"/>
    <w:rsid w:val="09141EC9"/>
    <w:rsid w:val="091B157F"/>
    <w:rsid w:val="091F2D9D"/>
    <w:rsid w:val="092B7785"/>
    <w:rsid w:val="093F6F9B"/>
    <w:rsid w:val="0948190B"/>
    <w:rsid w:val="0993037E"/>
    <w:rsid w:val="0A872E9B"/>
    <w:rsid w:val="0AA870F7"/>
    <w:rsid w:val="0AB319EF"/>
    <w:rsid w:val="0AD018D1"/>
    <w:rsid w:val="0AF6127C"/>
    <w:rsid w:val="0B261DB7"/>
    <w:rsid w:val="0B7962BE"/>
    <w:rsid w:val="0C105DFF"/>
    <w:rsid w:val="0C684A5B"/>
    <w:rsid w:val="0CB5287D"/>
    <w:rsid w:val="0CBD4ADC"/>
    <w:rsid w:val="0CCA3020"/>
    <w:rsid w:val="0CFC317C"/>
    <w:rsid w:val="0E3B762C"/>
    <w:rsid w:val="0E3F3599"/>
    <w:rsid w:val="0E475368"/>
    <w:rsid w:val="0E4B0A3C"/>
    <w:rsid w:val="0E6275D1"/>
    <w:rsid w:val="0EB46E08"/>
    <w:rsid w:val="0EC64E38"/>
    <w:rsid w:val="0EEC1973"/>
    <w:rsid w:val="0F264FE7"/>
    <w:rsid w:val="0F2C3C68"/>
    <w:rsid w:val="0F3946C8"/>
    <w:rsid w:val="0F621390"/>
    <w:rsid w:val="0FAC7325"/>
    <w:rsid w:val="0FE35EA0"/>
    <w:rsid w:val="0FEB079C"/>
    <w:rsid w:val="0FFA2218"/>
    <w:rsid w:val="10EF4D6C"/>
    <w:rsid w:val="11367AC0"/>
    <w:rsid w:val="11660D9C"/>
    <w:rsid w:val="118D1664"/>
    <w:rsid w:val="11A101D6"/>
    <w:rsid w:val="11B06C17"/>
    <w:rsid w:val="11B83C77"/>
    <w:rsid w:val="120D6082"/>
    <w:rsid w:val="122711D7"/>
    <w:rsid w:val="1230330D"/>
    <w:rsid w:val="12B50068"/>
    <w:rsid w:val="12CA37D0"/>
    <w:rsid w:val="12F23895"/>
    <w:rsid w:val="139D752A"/>
    <w:rsid w:val="13F526AA"/>
    <w:rsid w:val="140D7098"/>
    <w:rsid w:val="142152D6"/>
    <w:rsid w:val="14CB5D17"/>
    <w:rsid w:val="14DF5063"/>
    <w:rsid w:val="15373CF1"/>
    <w:rsid w:val="15880C4C"/>
    <w:rsid w:val="15AC7766"/>
    <w:rsid w:val="15AE4939"/>
    <w:rsid w:val="15CC719F"/>
    <w:rsid w:val="169B3D10"/>
    <w:rsid w:val="16A101B8"/>
    <w:rsid w:val="16A62408"/>
    <w:rsid w:val="16A7036B"/>
    <w:rsid w:val="16AC344E"/>
    <w:rsid w:val="16C07B0A"/>
    <w:rsid w:val="16E56401"/>
    <w:rsid w:val="16ED0899"/>
    <w:rsid w:val="170532D4"/>
    <w:rsid w:val="172604C7"/>
    <w:rsid w:val="1731523F"/>
    <w:rsid w:val="17EA65DF"/>
    <w:rsid w:val="18003D99"/>
    <w:rsid w:val="18287181"/>
    <w:rsid w:val="18D60710"/>
    <w:rsid w:val="18FA065B"/>
    <w:rsid w:val="192D615C"/>
    <w:rsid w:val="19553A9D"/>
    <w:rsid w:val="195F3547"/>
    <w:rsid w:val="19826FA5"/>
    <w:rsid w:val="19877AF0"/>
    <w:rsid w:val="19D40DC3"/>
    <w:rsid w:val="19E71F68"/>
    <w:rsid w:val="1A197CAE"/>
    <w:rsid w:val="1A287223"/>
    <w:rsid w:val="1B194EBC"/>
    <w:rsid w:val="1B393673"/>
    <w:rsid w:val="1B935F68"/>
    <w:rsid w:val="1C3243D6"/>
    <w:rsid w:val="1C5F6EAA"/>
    <w:rsid w:val="1C6F4FB4"/>
    <w:rsid w:val="1C733AAB"/>
    <w:rsid w:val="1CC45CDD"/>
    <w:rsid w:val="1CCB791D"/>
    <w:rsid w:val="1CD22F7D"/>
    <w:rsid w:val="1D1735EF"/>
    <w:rsid w:val="1D6F55A4"/>
    <w:rsid w:val="1DD12939"/>
    <w:rsid w:val="1DEE0CA9"/>
    <w:rsid w:val="1DF20628"/>
    <w:rsid w:val="1E1E141D"/>
    <w:rsid w:val="1E2D620F"/>
    <w:rsid w:val="1EA26DE3"/>
    <w:rsid w:val="1EBF50DB"/>
    <w:rsid w:val="1ED4425A"/>
    <w:rsid w:val="1EDC7F1C"/>
    <w:rsid w:val="1F011828"/>
    <w:rsid w:val="203A616A"/>
    <w:rsid w:val="204C132C"/>
    <w:rsid w:val="20644D04"/>
    <w:rsid w:val="20D64653"/>
    <w:rsid w:val="20EE1616"/>
    <w:rsid w:val="21120767"/>
    <w:rsid w:val="212E2504"/>
    <w:rsid w:val="214B0C07"/>
    <w:rsid w:val="216A67F7"/>
    <w:rsid w:val="219963E6"/>
    <w:rsid w:val="219E0F47"/>
    <w:rsid w:val="21D302A6"/>
    <w:rsid w:val="21D841C9"/>
    <w:rsid w:val="21EE0F80"/>
    <w:rsid w:val="23CF4666"/>
    <w:rsid w:val="245231DD"/>
    <w:rsid w:val="246B066E"/>
    <w:rsid w:val="249B03C8"/>
    <w:rsid w:val="24A314E5"/>
    <w:rsid w:val="25315A92"/>
    <w:rsid w:val="25485B4A"/>
    <w:rsid w:val="257411BF"/>
    <w:rsid w:val="25864D84"/>
    <w:rsid w:val="25D668B0"/>
    <w:rsid w:val="260F1BFD"/>
    <w:rsid w:val="26421E20"/>
    <w:rsid w:val="264D746E"/>
    <w:rsid w:val="26875236"/>
    <w:rsid w:val="268B18B9"/>
    <w:rsid w:val="26942845"/>
    <w:rsid w:val="26A5092E"/>
    <w:rsid w:val="26AB55C9"/>
    <w:rsid w:val="26AB5818"/>
    <w:rsid w:val="26D24169"/>
    <w:rsid w:val="26D7485F"/>
    <w:rsid w:val="26FA0120"/>
    <w:rsid w:val="2782748C"/>
    <w:rsid w:val="27AB2C9A"/>
    <w:rsid w:val="28603F2A"/>
    <w:rsid w:val="287B7E23"/>
    <w:rsid w:val="28812A39"/>
    <w:rsid w:val="288729E6"/>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D851A9"/>
    <w:rsid w:val="2BDA30DB"/>
    <w:rsid w:val="2C130D6C"/>
    <w:rsid w:val="2C225C6C"/>
    <w:rsid w:val="2C7831FE"/>
    <w:rsid w:val="2C8F0EA7"/>
    <w:rsid w:val="2CAD66F4"/>
    <w:rsid w:val="2D5609E8"/>
    <w:rsid w:val="2E0E10F4"/>
    <w:rsid w:val="2E1531CC"/>
    <w:rsid w:val="2E1555FA"/>
    <w:rsid w:val="2E335172"/>
    <w:rsid w:val="2EF771DC"/>
    <w:rsid w:val="2F377CAB"/>
    <w:rsid w:val="2F7215C9"/>
    <w:rsid w:val="2F753598"/>
    <w:rsid w:val="2FCC5E07"/>
    <w:rsid w:val="2FF545D5"/>
    <w:rsid w:val="30247B0A"/>
    <w:rsid w:val="30A11FD0"/>
    <w:rsid w:val="30DC2C3E"/>
    <w:rsid w:val="313C0938"/>
    <w:rsid w:val="3146027D"/>
    <w:rsid w:val="31492649"/>
    <w:rsid w:val="317D7A4B"/>
    <w:rsid w:val="319966F0"/>
    <w:rsid w:val="32863A70"/>
    <w:rsid w:val="328E2276"/>
    <w:rsid w:val="333F5C66"/>
    <w:rsid w:val="33526965"/>
    <w:rsid w:val="33825FA4"/>
    <w:rsid w:val="33BE74CF"/>
    <w:rsid w:val="33DB773D"/>
    <w:rsid w:val="346A2735"/>
    <w:rsid w:val="34711390"/>
    <w:rsid w:val="34820207"/>
    <w:rsid w:val="349F49A1"/>
    <w:rsid w:val="34AA5361"/>
    <w:rsid w:val="34D7553F"/>
    <w:rsid w:val="34F57880"/>
    <w:rsid w:val="34F622B8"/>
    <w:rsid w:val="34FC3E0F"/>
    <w:rsid w:val="3536335A"/>
    <w:rsid w:val="357B6085"/>
    <w:rsid w:val="3600333F"/>
    <w:rsid w:val="360B0081"/>
    <w:rsid w:val="367C2ED7"/>
    <w:rsid w:val="36C53D8A"/>
    <w:rsid w:val="36DC78E2"/>
    <w:rsid w:val="373C7A9C"/>
    <w:rsid w:val="37407521"/>
    <w:rsid w:val="37416EB1"/>
    <w:rsid w:val="37512FB8"/>
    <w:rsid w:val="376914BD"/>
    <w:rsid w:val="377D7D51"/>
    <w:rsid w:val="37CB1876"/>
    <w:rsid w:val="37CD35DE"/>
    <w:rsid w:val="38232AA8"/>
    <w:rsid w:val="3860608E"/>
    <w:rsid w:val="389D3187"/>
    <w:rsid w:val="38B91C49"/>
    <w:rsid w:val="39150919"/>
    <w:rsid w:val="39726449"/>
    <w:rsid w:val="397D27F8"/>
    <w:rsid w:val="3984451E"/>
    <w:rsid w:val="39E82BB3"/>
    <w:rsid w:val="39E958BC"/>
    <w:rsid w:val="39F84A46"/>
    <w:rsid w:val="3A1C737D"/>
    <w:rsid w:val="3A366C90"/>
    <w:rsid w:val="3A50783A"/>
    <w:rsid w:val="3AD2717E"/>
    <w:rsid w:val="3AE8792A"/>
    <w:rsid w:val="3AFD5CD0"/>
    <w:rsid w:val="3B2B5E72"/>
    <w:rsid w:val="3B3360B0"/>
    <w:rsid w:val="3B4C6B7D"/>
    <w:rsid w:val="3B861D7B"/>
    <w:rsid w:val="3C580635"/>
    <w:rsid w:val="3C896EB4"/>
    <w:rsid w:val="3CC50F8A"/>
    <w:rsid w:val="3CF26E83"/>
    <w:rsid w:val="3D4F3E78"/>
    <w:rsid w:val="3D7E3DFD"/>
    <w:rsid w:val="3DDC1B4E"/>
    <w:rsid w:val="3DE624D4"/>
    <w:rsid w:val="3E684EAD"/>
    <w:rsid w:val="3E6E56EE"/>
    <w:rsid w:val="3E831250"/>
    <w:rsid w:val="3EAF2D25"/>
    <w:rsid w:val="3EBD538E"/>
    <w:rsid w:val="3F0F0BE2"/>
    <w:rsid w:val="3F221C11"/>
    <w:rsid w:val="3F3F3186"/>
    <w:rsid w:val="3FF57DD8"/>
    <w:rsid w:val="400A4965"/>
    <w:rsid w:val="40291362"/>
    <w:rsid w:val="40B35F3C"/>
    <w:rsid w:val="41492569"/>
    <w:rsid w:val="41B06152"/>
    <w:rsid w:val="41CF1774"/>
    <w:rsid w:val="41E166A7"/>
    <w:rsid w:val="41E805FE"/>
    <w:rsid w:val="421F0E45"/>
    <w:rsid w:val="42833F2C"/>
    <w:rsid w:val="42A34959"/>
    <w:rsid w:val="42AB29D0"/>
    <w:rsid w:val="42D515E8"/>
    <w:rsid w:val="43016A94"/>
    <w:rsid w:val="432568B4"/>
    <w:rsid w:val="436617E4"/>
    <w:rsid w:val="437468EE"/>
    <w:rsid w:val="43C5363E"/>
    <w:rsid w:val="43F0266D"/>
    <w:rsid w:val="441B5933"/>
    <w:rsid w:val="444B7A53"/>
    <w:rsid w:val="44562207"/>
    <w:rsid w:val="44EF3FD1"/>
    <w:rsid w:val="45107828"/>
    <w:rsid w:val="452D5DB8"/>
    <w:rsid w:val="4534045C"/>
    <w:rsid w:val="45352A25"/>
    <w:rsid w:val="455E66B8"/>
    <w:rsid w:val="458F0387"/>
    <w:rsid w:val="460F3D97"/>
    <w:rsid w:val="46157C7E"/>
    <w:rsid w:val="461F17AF"/>
    <w:rsid w:val="46283D77"/>
    <w:rsid w:val="46707362"/>
    <w:rsid w:val="469F3F08"/>
    <w:rsid w:val="46E53E93"/>
    <w:rsid w:val="46E6047B"/>
    <w:rsid w:val="471C5C4A"/>
    <w:rsid w:val="47525687"/>
    <w:rsid w:val="47A32C15"/>
    <w:rsid w:val="47D33EDA"/>
    <w:rsid w:val="47F55DE4"/>
    <w:rsid w:val="47FC5A7C"/>
    <w:rsid w:val="48010ED3"/>
    <w:rsid w:val="484F02A2"/>
    <w:rsid w:val="48514DA6"/>
    <w:rsid w:val="48CA33FC"/>
    <w:rsid w:val="48F31859"/>
    <w:rsid w:val="49316623"/>
    <w:rsid w:val="494372C0"/>
    <w:rsid w:val="495532BE"/>
    <w:rsid w:val="49B80EF4"/>
    <w:rsid w:val="4A091CE5"/>
    <w:rsid w:val="4A99106D"/>
    <w:rsid w:val="4AC839B1"/>
    <w:rsid w:val="4B3A0A45"/>
    <w:rsid w:val="4B8A23E0"/>
    <w:rsid w:val="4BCE2162"/>
    <w:rsid w:val="4BE909E0"/>
    <w:rsid w:val="4BEF1B80"/>
    <w:rsid w:val="4BF7143F"/>
    <w:rsid w:val="4BFF39E8"/>
    <w:rsid w:val="4C290139"/>
    <w:rsid w:val="4C4C1669"/>
    <w:rsid w:val="4C6A44A2"/>
    <w:rsid w:val="4C7F6D10"/>
    <w:rsid w:val="4CC2524A"/>
    <w:rsid w:val="4CD802A4"/>
    <w:rsid w:val="4CFE5DCC"/>
    <w:rsid w:val="4D293DEA"/>
    <w:rsid w:val="4DD83BCC"/>
    <w:rsid w:val="4DDB6FF8"/>
    <w:rsid w:val="4DDE1EAC"/>
    <w:rsid w:val="4DFF1E22"/>
    <w:rsid w:val="4E5D3917"/>
    <w:rsid w:val="4F184122"/>
    <w:rsid w:val="4F1C3489"/>
    <w:rsid w:val="4F29128D"/>
    <w:rsid w:val="4F5C41F1"/>
    <w:rsid w:val="4F87349D"/>
    <w:rsid w:val="4F9F02E7"/>
    <w:rsid w:val="4FBC04A4"/>
    <w:rsid w:val="50195C4C"/>
    <w:rsid w:val="51326756"/>
    <w:rsid w:val="518976D2"/>
    <w:rsid w:val="522E5111"/>
    <w:rsid w:val="525608BB"/>
    <w:rsid w:val="52935EE2"/>
    <w:rsid w:val="52A674AC"/>
    <w:rsid w:val="52B5636A"/>
    <w:rsid w:val="52C84ED8"/>
    <w:rsid w:val="53072D70"/>
    <w:rsid w:val="53594140"/>
    <w:rsid w:val="53E15419"/>
    <w:rsid w:val="53F01D34"/>
    <w:rsid w:val="54166BC3"/>
    <w:rsid w:val="541A3E14"/>
    <w:rsid w:val="546D3EBE"/>
    <w:rsid w:val="547E7F44"/>
    <w:rsid w:val="54955781"/>
    <w:rsid w:val="54A203AA"/>
    <w:rsid w:val="54B61F5D"/>
    <w:rsid w:val="54F4175C"/>
    <w:rsid w:val="551F5FB4"/>
    <w:rsid w:val="55396FFF"/>
    <w:rsid w:val="55AA1478"/>
    <w:rsid w:val="55CC2F32"/>
    <w:rsid w:val="55D15107"/>
    <w:rsid w:val="55E97F3F"/>
    <w:rsid w:val="56497D05"/>
    <w:rsid w:val="5651762B"/>
    <w:rsid w:val="568630E0"/>
    <w:rsid w:val="570A56DD"/>
    <w:rsid w:val="57730905"/>
    <w:rsid w:val="57783371"/>
    <w:rsid w:val="57C70B78"/>
    <w:rsid w:val="58457272"/>
    <w:rsid w:val="58900246"/>
    <w:rsid w:val="58A14A23"/>
    <w:rsid w:val="58A609DF"/>
    <w:rsid w:val="58CB7923"/>
    <w:rsid w:val="58FF660A"/>
    <w:rsid w:val="594352B9"/>
    <w:rsid w:val="59435A08"/>
    <w:rsid w:val="599810F5"/>
    <w:rsid w:val="59A1101C"/>
    <w:rsid w:val="59AF248B"/>
    <w:rsid w:val="59B1782C"/>
    <w:rsid w:val="59F111B9"/>
    <w:rsid w:val="59F94937"/>
    <w:rsid w:val="5A1455BF"/>
    <w:rsid w:val="5A15432B"/>
    <w:rsid w:val="5A1D1EFC"/>
    <w:rsid w:val="5AA4104C"/>
    <w:rsid w:val="5AC95DC1"/>
    <w:rsid w:val="5AD26541"/>
    <w:rsid w:val="5ADA6DD0"/>
    <w:rsid w:val="5ADE3149"/>
    <w:rsid w:val="5AEF067F"/>
    <w:rsid w:val="5B921080"/>
    <w:rsid w:val="5B9444F1"/>
    <w:rsid w:val="5BC052E6"/>
    <w:rsid w:val="5BF85296"/>
    <w:rsid w:val="5BFD5A93"/>
    <w:rsid w:val="5C024D2D"/>
    <w:rsid w:val="5C2E04A2"/>
    <w:rsid w:val="5C4972A2"/>
    <w:rsid w:val="5C4C26D6"/>
    <w:rsid w:val="5C8639DD"/>
    <w:rsid w:val="5C930305"/>
    <w:rsid w:val="5CC564B5"/>
    <w:rsid w:val="5CC74C19"/>
    <w:rsid w:val="5CD458C9"/>
    <w:rsid w:val="5CD901EE"/>
    <w:rsid w:val="5CF05F2A"/>
    <w:rsid w:val="5D054DA9"/>
    <w:rsid w:val="5D2D6E3D"/>
    <w:rsid w:val="5D8E38A2"/>
    <w:rsid w:val="5D8F1BE6"/>
    <w:rsid w:val="5DA724B1"/>
    <w:rsid w:val="5DAA5AF3"/>
    <w:rsid w:val="5E561F7F"/>
    <w:rsid w:val="5E5B4E53"/>
    <w:rsid w:val="5F7D08E4"/>
    <w:rsid w:val="5FAB005C"/>
    <w:rsid w:val="5FE07B70"/>
    <w:rsid w:val="603879BD"/>
    <w:rsid w:val="60522285"/>
    <w:rsid w:val="606B6E69"/>
    <w:rsid w:val="607034DD"/>
    <w:rsid w:val="60912DAE"/>
    <w:rsid w:val="60944A0B"/>
    <w:rsid w:val="60AC578B"/>
    <w:rsid w:val="60D41974"/>
    <w:rsid w:val="612D083D"/>
    <w:rsid w:val="6154366A"/>
    <w:rsid w:val="617200A8"/>
    <w:rsid w:val="61B85B0B"/>
    <w:rsid w:val="61CD059E"/>
    <w:rsid w:val="61EB0605"/>
    <w:rsid w:val="624A085E"/>
    <w:rsid w:val="627C0528"/>
    <w:rsid w:val="62AE5245"/>
    <w:rsid w:val="6320666B"/>
    <w:rsid w:val="633E7ADE"/>
    <w:rsid w:val="63433366"/>
    <w:rsid w:val="63891D25"/>
    <w:rsid w:val="63A54A3C"/>
    <w:rsid w:val="63A66D11"/>
    <w:rsid w:val="63A92490"/>
    <w:rsid w:val="63AE49E0"/>
    <w:rsid w:val="63D63827"/>
    <w:rsid w:val="63ED595E"/>
    <w:rsid w:val="63F10251"/>
    <w:rsid w:val="640A29E2"/>
    <w:rsid w:val="641674F2"/>
    <w:rsid w:val="643B2761"/>
    <w:rsid w:val="64C51278"/>
    <w:rsid w:val="64CA5FFF"/>
    <w:rsid w:val="64FD5E67"/>
    <w:rsid w:val="65546448"/>
    <w:rsid w:val="65632782"/>
    <w:rsid w:val="65711670"/>
    <w:rsid w:val="65AE7E08"/>
    <w:rsid w:val="65C63372"/>
    <w:rsid w:val="662C60B7"/>
    <w:rsid w:val="66613222"/>
    <w:rsid w:val="668C29E2"/>
    <w:rsid w:val="668F6486"/>
    <w:rsid w:val="670575BF"/>
    <w:rsid w:val="672A7AB8"/>
    <w:rsid w:val="67D75CA5"/>
    <w:rsid w:val="67F23C6D"/>
    <w:rsid w:val="68D61B92"/>
    <w:rsid w:val="68E33569"/>
    <w:rsid w:val="694F3806"/>
    <w:rsid w:val="696772FB"/>
    <w:rsid w:val="69E4001D"/>
    <w:rsid w:val="6A095614"/>
    <w:rsid w:val="6A1E6A73"/>
    <w:rsid w:val="6A2B4C32"/>
    <w:rsid w:val="6AEA3DA1"/>
    <w:rsid w:val="6AF07B7F"/>
    <w:rsid w:val="6B2F1B41"/>
    <w:rsid w:val="6B427B77"/>
    <w:rsid w:val="6B4E2D3E"/>
    <w:rsid w:val="6B8237AB"/>
    <w:rsid w:val="6BD96A17"/>
    <w:rsid w:val="6C091100"/>
    <w:rsid w:val="6C1668B8"/>
    <w:rsid w:val="6C530C66"/>
    <w:rsid w:val="6C8C3392"/>
    <w:rsid w:val="6CF273F4"/>
    <w:rsid w:val="6D34599B"/>
    <w:rsid w:val="6D70308A"/>
    <w:rsid w:val="6E550CC4"/>
    <w:rsid w:val="6E943BB5"/>
    <w:rsid w:val="6EBC13EB"/>
    <w:rsid w:val="6EBE3907"/>
    <w:rsid w:val="6EC71ECE"/>
    <w:rsid w:val="6EF84074"/>
    <w:rsid w:val="6F6F4C26"/>
    <w:rsid w:val="6F8F50D4"/>
    <w:rsid w:val="6FEF12D1"/>
    <w:rsid w:val="6FEF16BE"/>
    <w:rsid w:val="706B00BB"/>
    <w:rsid w:val="70B43760"/>
    <w:rsid w:val="70DE0D35"/>
    <w:rsid w:val="70DF14BB"/>
    <w:rsid w:val="70EB475C"/>
    <w:rsid w:val="70F01005"/>
    <w:rsid w:val="71006E3B"/>
    <w:rsid w:val="71397DCB"/>
    <w:rsid w:val="71687CAF"/>
    <w:rsid w:val="71AF12E6"/>
    <w:rsid w:val="71C805F9"/>
    <w:rsid w:val="727A15DA"/>
    <w:rsid w:val="72B01989"/>
    <w:rsid w:val="72CA1615"/>
    <w:rsid w:val="72DA63FB"/>
    <w:rsid w:val="73372296"/>
    <w:rsid w:val="73584999"/>
    <w:rsid w:val="738A4F1A"/>
    <w:rsid w:val="73EA7556"/>
    <w:rsid w:val="741C0922"/>
    <w:rsid w:val="7449069D"/>
    <w:rsid w:val="74573835"/>
    <w:rsid w:val="75056005"/>
    <w:rsid w:val="758B5B61"/>
    <w:rsid w:val="75AE44DB"/>
    <w:rsid w:val="75B46B29"/>
    <w:rsid w:val="75E7504D"/>
    <w:rsid w:val="75EF53B2"/>
    <w:rsid w:val="76037EB7"/>
    <w:rsid w:val="760B7E8B"/>
    <w:rsid w:val="76B10E65"/>
    <w:rsid w:val="76D01A14"/>
    <w:rsid w:val="76E11073"/>
    <w:rsid w:val="76E653E4"/>
    <w:rsid w:val="76E90085"/>
    <w:rsid w:val="775B3B00"/>
    <w:rsid w:val="776E1C43"/>
    <w:rsid w:val="77730B47"/>
    <w:rsid w:val="77751BD4"/>
    <w:rsid w:val="77A3153F"/>
    <w:rsid w:val="77B238DE"/>
    <w:rsid w:val="77E17612"/>
    <w:rsid w:val="77F85EB7"/>
    <w:rsid w:val="780E2E02"/>
    <w:rsid w:val="786372CE"/>
    <w:rsid w:val="78697573"/>
    <w:rsid w:val="78D003F8"/>
    <w:rsid w:val="792620AF"/>
    <w:rsid w:val="79522E9F"/>
    <w:rsid w:val="79BF4A66"/>
    <w:rsid w:val="79E96674"/>
    <w:rsid w:val="79EA6FF3"/>
    <w:rsid w:val="79FF6F80"/>
    <w:rsid w:val="7A104A82"/>
    <w:rsid w:val="7A350790"/>
    <w:rsid w:val="7A8D2380"/>
    <w:rsid w:val="7AC23E20"/>
    <w:rsid w:val="7AD07CBE"/>
    <w:rsid w:val="7AE456E6"/>
    <w:rsid w:val="7AEA4A74"/>
    <w:rsid w:val="7C015992"/>
    <w:rsid w:val="7CE92D02"/>
    <w:rsid w:val="7D43447E"/>
    <w:rsid w:val="7D893333"/>
    <w:rsid w:val="7DB36601"/>
    <w:rsid w:val="7DEC3229"/>
    <w:rsid w:val="7E0278BC"/>
    <w:rsid w:val="7E144D2B"/>
    <w:rsid w:val="7E400A43"/>
    <w:rsid w:val="7E4159BB"/>
    <w:rsid w:val="7E6873EC"/>
    <w:rsid w:val="7ECB7D29"/>
    <w:rsid w:val="7ED70E56"/>
    <w:rsid w:val="7F035BA0"/>
    <w:rsid w:val="7F202C72"/>
    <w:rsid w:val="7F43222E"/>
    <w:rsid w:val="7F6862B5"/>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34</Pages>
  <Words>9254</Words>
  <Characters>10158</Characters>
  <Lines>110</Lines>
  <Paragraphs>31</Paragraphs>
  <TotalTime>28</TotalTime>
  <ScaleCrop>false</ScaleCrop>
  <LinksUpToDate>false</LinksUpToDate>
  <CharactersWithSpaces>10366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2026-06-11T08:38:32Z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