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D7E4BD" w:themeColor="accent3" w:themeTint="66"/>
  <w:body>
    <w:p w14:paraId="52AE5D4E">
      <w:pPr>
        <w:pStyle w:val="108"/>
        <w:ind w:firstLine="0" w:firstLineChars="0"/>
        <w:jc w:val="center"/>
        <w:rPr>
          <w:rFonts w:ascii="Times New Roman" w:hAnsi="Times New Roman" w:eastAsiaTheme="minorEastAsia"/>
        </w:rPr>
      </w:pPr>
    </w:p>
    <w:p w14:paraId="063E5BCC">
      <w:pPr>
        <w:spacing w:line="900" w:lineRule="exact"/>
        <w:jc w:val="center"/>
        <w:rPr>
          <w:rFonts w:ascii="Times New Roman" w:hAnsi="Times New Roman" w:eastAsia="方正黑体_GBK" w:cs="Times New Roman"/>
          <w:b/>
          <w:sz w:val="44"/>
          <w:szCs w:val="44"/>
        </w:rPr>
      </w:pPr>
      <w:r>
        <w:rPr>
          <w:rFonts w:ascii="Times New Roman" w:hAnsi="Times New Roman" w:eastAsia="方正黑体_GBK" w:cs="Times New Roman"/>
          <w:b/>
          <w:sz w:val="44"/>
          <w:szCs w:val="44"/>
        </w:rPr>
        <w:t>重庆财经学院</w:t>
      </w:r>
    </w:p>
    <w:p w14:paraId="21544826">
      <w:pPr>
        <w:spacing w:line="900" w:lineRule="exact"/>
        <w:jc w:val="center"/>
        <w:rPr>
          <w:rFonts w:hint="default" w:ascii="Times New Roman" w:hAnsi="Times New Roman" w:eastAsia="方正黑体_GBK" w:cs="Times New Roman"/>
          <w:b/>
          <w:sz w:val="44"/>
          <w:szCs w:val="44"/>
          <w:lang w:val="en-US" w:eastAsia="zh-CN"/>
        </w:rPr>
      </w:pPr>
      <w:r>
        <w:rPr>
          <w:rFonts w:hint="eastAsia" w:ascii="Times New Roman" w:hAnsi="Times New Roman" w:eastAsia="方正黑体_GBK" w:cs="Times New Roman"/>
          <w:b/>
          <w:sz w:val="44"/>
          <w:szCs w:val="44"/>
        </w:rPr>
        <w:t>人力资源管理与服务平台采购</w:t>
      </w:r>
      <w:r>
        <w:rPr>
          <w:rFonts w:ascii="Times New Roman" w:hAnsi="Times New Roman" w:eastAsia="方正黑体_GBK" w:cs="Times New Roman"/>
          <w:b/>
          <w:sz w:val="44"/>
          <w:szCs w:val="44"/>
        </w:rPr>
        <w:t>项目</w:t>
      </w:r>
      <w:r>
        <w:rPr>
          <w:rFonts w:hint="eastAsia" w:ascii="Times New Roman" w:hAnsi="Times New Roman" w:eastAsia="方正黑体_GBK" w:cs="Times New Roman"/>
          <w:b/>
          <w:sz w:val="44"/>
          <w:szCs w:val="44"/>
          <w:lang w:val="en-US" w:eastAsia="zh-CN"/>
        </w:rPr>
        <w:t>(第三次)</w:t>
      </w:r>
    </w:p>
    <w:p w14:paraId="3960A5A2">
      <w:pPr>
        <w:spacing w:line="900" w:lineRule="exact"/>
        <w:jc w:val="center"/>
        <w:rPr>
          <w:rFonts w:ascii="Times New Roman" w:hAnsi="Times New Roman" w:cs="Times New Roman" w:eastAsiaTheme="minorEastAsia"/>
          <w:b/>
          <w:sz w:val="30"/>
          <w:szCs w:val="30"/>
        </w:rPr>
      </w:pPr>
    </w:p>
    <w:p w14:paraId="4BBF0ACC">
      <w:pPr>
        <w:spacing w:line="900" w:lineRule="exact"/>
        <w:jc w:val="center"/>
        <w:rPr>
          <w:rFonts w:ascii="Times New Roman" w:hAnsi="Times New Roman" w:cs="Times New Roman" w:eastAsiaTheme="minorEastAsia"/>
          <w:b/>
          <w:sz w:val="30"/>
          <w:szCs w:val="30"/>
        </w:rPr>
      </w:pPr>
    </w:p>
    <w:p w14:paraId="7B0E10DE">
      <w:pPr>
        <w:spacing w:line="276" w:lineRule="auto"/>
        <w:jc w:val="distribute"/>
        <w:rPr>
          <w:rFonts w:ascii="Times New Roman" w:hAnsi="Times New Roman" w:eastAsia="方正黑体_GBK" w:cs="Times New Roman"/>
          <w:b/>
          <w:sz w:val="52"/>
          <w:szCs w:val="52"/>
        </w:rPr>
      </w:pPr>
      <w:r>
        <w:rPr>
          <w:rFonts w:ascii="Times New Roman" w:hAnsi="Times New Roman" w:eastAsia="方正黑体_GBK" w:cs="Times New Roman"/>
          <w:b/>
          <w:sz w:val="52"/>
          <w:szCs w:val="52"/>
        </w:rPr>
        <w:t>招</w:t>
      </w:r>
    </w:p>
    <w:p w14:paraId="65AA0FE7">
      <w:pPr>
        <w:spacing w:line="276" w:lineRule="auto"/>
        <w:jc w:val="distribute"/>
        <w:rPr>
          <w:rFonts w:ascii="Times New Roman" w:hAnsi="Times New Roman" w:eastAsia="方正黑体_GBK" w:cs="Times New Roman"/>
          <w:b/>
          <w:sz w:val="52"/>
          <w:szCs w:val="52"/>
        </w:rPr>
      </w:pPr>
      <w:r>
        <w:rPr>
          <w:rFonts w:ascii="Times New Roman" w:hAnsi="Times New Roman" w:eastAsia="方正黑体_GBK" w:cs="Times New Roman"/>
          <w:b/>
          <w:sz w:val="52"/>
          <w:szCs w:val="52"/>
        </w:rPr>
        <w:t>标</w:t>
      </w:r>
    </w:p>
    <w:p w14:paraId="4831097A">
      <w:pPr>
        <w:spacing w:line="276" w:lineRule="auto"/>
        <w:jc w:val="distribute"/>
        <w:rPr>
          <w:rFonts w:ascii="Times New Roman" w:hAnsi="Times New Roman" w:eastAsia="方正黑体_GBK" w:cs="Times New Roman"/>
          <w:b/>
          <w:sz w:val="52"/>
          <w:szCs w:val="52"/>
        </w:rPr>
      </w:pPr>
      <w:r>
        <w:rPr>
          <w:rFonts w:ascii="Times New Roman" w:hAnsi="Times New Roman" w:eastAsia="方正黑体_GBK" w:cs="Times New Roman"/>
          <w:b/>
          <w:sz w:val="52"/>
          <w:szCs w:val="52"/>
        </w:rPr>
        <w:t>文</w:t>
      </w:r>
    </w:p>
    <w:p w14:paraId="1C457121">
      <w:pPr>
        <w:spacing w:line="276" w:lineRule="auto"/>
        <w:jc w:val="distribute"/>
        <w:rPr>
          <w:rFonts w:ascii="Times New Roman" w:hAnsi="Times New Roman" w:eastAsia="方正黑体_GBK" w:cs="Times New Roman"/>
          <w:b/>
          <w:sz w:val="52"/>
          <w:szCs w:val="52"/>
        </w:rPr>
      </w:pPr>
      <w:r>
        <w:rPr>
          <w:rFonts w:ascii="Times New Roman" w:hAnsi="Times New Roman" w:eastAsia="方正黑体_GBK" w:cs="Times New Roman"/>
          <w:b/>
          <w:sz w:val="52"/>
          <w:szCs w:val="52"/>
        </w:rPr>
        <w:t>件</w:t>
      </w:r>
    </w:p>
    <w:p w14:paraId="2F11B05E">
      <w:pPr>
        <w:spacing w:after="120" w:afterLines="50"/>
        <w:rPr>
          <w:rFonts w:ascii="Times New Roman" w:hAnsi="Times New Roman" w:cs="Times New Roman" w:eastAsiaTheme="minorEastAsia"/>
          <w:b/>
          <w:sz w:val="72"/>
        </w:rPr>
      </w:pPr>
    </w:p>
    <w:p w14:paraId="4590F25E">
      <w:pPr>
        <w:tabs>
          <w:tab w:val="left" w:pos="5641"/>
        </w:tabs>
        <w:spacing w:after="120" w:afterLines="50" w:line="500" w:lineRule="exact"/>
        <w:ind w:firstLine="1979" w:firstLineChars="618"/>
        <w:rPr>
          <w:rFonts w:ascii="Times New Roman" w:hAnsi="Times New Roman" w:eastAsia="方正黑体_GBK" w:cs="Times New Roman"/>
          <w:b/>
          <w:sz w:val="32"/>
        </w:rPr>
      </w:pPr>
      <w:r>
        <w:rPr>
          <w:rFonts w:hint="eastAsia" w:ascii="Times New Roman" w:hAnsi="Times New Roman" w:eastAsia="方正黑体_GBK" w:cs="Times New Roman"/>
          <w:b/>
          <w:sz w:val="32"/>
        </w:rPr>
        <w:tab/>
      </w:r>
    </w:p>
    <w:p w14:paraId="64AEEA3F">
      <w:pPr>
        <w:spacing w:after="120" w:afterLines="50" w:line="500" w:lineRule="exact"/>
        <w:ind w:firstLine="1979" w:firstLineChars="618"/>
        <w:rPr>
          <w:rFonts w:ascii="Times New Roman" w:hAnsi="Times New Roman" w:eastAsia="方正黑体_GBK" w:cs="Times New Roman"/>
          <w:b/>
          <w:sz w:val="32"/>
        </w:rPr>
      </w:pPr>
    </w:p>
    <w:p w14:paraId="255D5485">
      <w:pPr>
        <w:spacing w:after="120" w:afterLines="50" w:line="500" w:lineRule="exact"/>
        <w:ind w:firstLine="1979" w:firstLineChars="618"/>
        <w:rPr>
          <w:rFonts w:ascii="Times New Roman" w:hAnsi="Times New Roman" w:eastAsia="方正黑体_GBK" w:cs="Times New Roman"/>
          <w:b/>
          <w:sz w:val="32"/>
        </w:rPr>
      </w:pPr>
      <w:r>
        <w:rPr>
          <w:rFonts w:ascii="Times New Roman" w:hAnsi="Times New Roman" w:eastAsia="方正黑体_GBK" w:cs="Times New Roman"/>
          <w:b/>
          <w:sz w:val="32"/>
        </w:rPr>
        <w:t>招标人：重庆财经学院</w:t>
      </w:r>
    </w:p>
    <w:p w14:paraId="3F3D144A">
      <w:pPr>
        <w:spacing w:after="120" w:afterLines="50" w:line="500" w:lineRule="exact"/>
        <w:ind w:firstLine="1979" w:firstLineChars="618"/>
        <w:rPr>
          <w:rFonts w:ascii="Times New Roman" w:hAnsi="Times New Roman" w:eastAsia="方正黑体_GBK" w:cs="Times New Roman"/>
          <w:b/>
          <w:sz w:val="32"/>
        </w:rPr>
      </w:pPr>
      <w:r>
        <w:rPr>
          <w:rFonts w:ascii="Times New Roman" w:hAnsi="Times New Roman" w:eastAsia="方正黑体_GBK" w:cs="Times New Roman"/>
          <w:b/>
          <w:sz w:val="32"/>
        </w:rPr>
        <w:t>招标日期：202</w:t>
      </w:r>
      <w:r>
        <w:rPr>
          <w:rFonts w:hint="eastAsia" w:ascii="Times New Roman" w:hAnsi="Times New Roman" w:eastAsia="方正黑体_GBK" w:cs="Times New Roman"/>
          <w:b/>
          <w:sz w:val="32"/>
        </w:rPr>
        <w:t>6</w:t>
      </w:r>
      <w:r>
        <w:rPr>
          <w:rFonts w:ascii="Times New Roman" w:hAnsi="Times New Roman" w:eastAsia="方正黑体_GBK" w:cs="Times New Roman"/>
          <w:b/>
          <w:sz w:val="32"/>
        </w:rPr>
        <w:t>年</w:t>
      </w:r>
      <w:r>
        <w:rPr>
          <w:rFonts w:hint="eastAsia" w:ascii="Times New Roman" w:hAnsi="Times New Roman" w:eastAsia="方正黑体_GBK" w:cs="Times New Roman"/>
          <w:b/>
          <w:sz w:val="32"/>
          <w:lang w:val="en-US" w:eastAsia="zh-CN"/>
        </w:rPr>
        <w:t>3</w:t>
      </w:r>
      <w:r>
        <w:rPr>
          <w:rFonts w:ascii="Times New Roman" w:hAnsi="Times New Roman" w:eastAsia="方正黑体_GBK" w:cs="Times New Roman"/>
          <w:b/>
          <w:sz w:val="32"/>
        </w:rPr>
        <w:t>月</w:t>
      </w:r>
    </w:p>
    <w:p w14:paraId="079325BC">
      <w:pPr>
        <w:widowControl/>
        <w:jc w:val="left"/>
        <w:rPr>
          <w:rFonts w:ascii="Times New Roman" w:hAnsi="Times New Roman" w:cs="Times New Roman"/>
          <w:sz w:val="36"/>
          <w:szCs w:val="36"/>
          <w:lang w:val="zh-CN"/>
        </w:rPr>
      </w:pPr>
      <w:r>
        <w:rPr>
          <w:rFonts w:ascii="Times New Roman" w:hAnsi="Times New Roman" w:cs="Times New Roman"/>
          <w:b/>
          <w:bCs/>
          <w:sz w:val="36"/>
          <w:szCs w:val="36"/>
          <w:lang w:val="zh-CN"/>
        </w:rPr>
        <w:br w:type="page"/>
      </w:r>
    </w:p>
    <w:p w14:paraId="1A19C9A0">
      <w:pPr>
        <w:pStyle w:val="194"/>
        <w:jc w:val="center"/>
        <w:rPr>
          <w:rFonts w:ascii="Times New Roman" w:hAnsi="Times New Roman" w:eastAsia="宋体" w:cs="Times New Roman"/>
          <w:b w:val="0"/>
          <w:bCs w:val="0"/>
          <w:color w:val="auto"/>
          <w:kern w:val="2"/>
          <w:sz w:val="36"/>
          <w:szCs w:val="36"/>
          <w:lang w:val="zh-CN"/>
        </w:rPr>
      </w:pPr>
    </w:p>
    <w:sdt>
      <w:sdtPr>
        <w:rPr>
          <w:rFonts w:ascii="Times New Roman" w:hAnsi="Times New Roman" w:eastAsia="宋体" w:cs="Times New Roman"/>
          <w:b w:val="0"/>
          <w:bCs w:val="0"/>
          <w:color w:val="auto"/>
          <w:kern w:val="2"/>
          <w:sz w:val="36"/>
          <w:szCs w:val="36"/>
          <w:lang w:val="zh-CN"/>
        </w:rPr>
        <w:id w:val="99690147"/>
      </w:sdtPr>
      <w:sdtEndPr>
        <w:rPr>
          <w:rFonts w:ascii="Times New Roman" w:hAnsi="Times New Roman" w:eastAsia="方正黑体_GBK" w:cs="Times New Roman"/>
          <w:b w:val="0"/>
          <w:bCs w:val="0"/>
          <w:color w:val="auto"/>
          <w:kern w:val="2"/>
          <w:sz w:val="24"/>
          <w:szCs w:val="24"/>
          <w:lang w:val="zh-CN"/>
        </w:rPr>
      </w:sdtEndPr>
      <w:sdtContent>
        <w:sdt>
          <w:sdtPr>
            <w:rPr>
              <w:rFonts w:hint="eastAsia" w:ascii="宋体" w:hAnsi="宋体" w:eastAsia="宋体" w:cs="宋体"/>
              <w:b w:val="0"/>
              <w:bCs w:val="0"/>
              <w:color w:val="auto"/>
              <w:kern w:val="2"/>
              <w:sz w:val="36"/>
              <w:szCs w:val="36"/>
              <w:lang w:val="zh-CN"/>
            </w:rPr>
            <w:id w:val="147462012"/>
          </w:sdtPr>
          <w:sdtEndPr>
            <w:rPr>
              <w:rFonts w:hint="eastAsia" w:ascii="方正黑体_GBK" w:hAnsi="方正黑体_GBK" w:eastAsia="方正黑体_GBK" w:cs="方正黑体_GBK"/>
              <w:b w:val="0"/>
              <w:bCs w:val="0"/>
              <w:color w:val="auto"/>
              <w:kern w:val="2"/>
              <w:sz w:val="24"/>
              <w:szCs w:val="24"/>
              <w:lang w:val="zh-CN"/>
            </w:rPr>
          </w:sdtEndPr>
          <w:sdtContent>
            <w:p w14:paraId="75851451">
              <w:pPr>
                <w:pStyle w:val="194"/>
                <w:jc w:val="center"/>
                <w:rPr>
                  <w:rFonts w:hint="eastAsia" w:ascii="宋体" w:hAnsi="宋体" w:eastAsia="宋体" w:cs="宋体"/>
                  <w:color w:val="auto"/>
                  <w:sz w:val="36"/>
                  <w:szCs w:val="36"/>
                  <w:lang w:val="zh-CN"/>
                </w:rPr>
              </w:pPr>
              <w:r>
                <w:rPr>
                  <w:rFonts w:hint="eastAsia" w:ascii="宋体" w:hAnsi="宋体" w:eastAsia="宋体" w:cs="宋体"/>
                  <w:color w:val="auto"/>
                  <w:sz w:val="36"/>
                  <w:szCs w:val="36"/>
                  <w:lang w:val="zh-CN"/>
                </w:rPr>
                <w:t>目录</w:t>
              </w:r>
            </w:p>
            <w:p w14:paraId="094095FE">
              <w:pPr>
                <w:rPr>
                  <w:lang w:val="zh-CN"/>
                </w:rPr>
              </w:pPr>
            </w:p>
            <w:p w14:paraId="3363B498"/>
            <w:p w14:paraId="7D8666F6">
              <w:pPr>
                <w:pStyle w:val="30"/>
                <w:tabs>
                  <w:tab w:val="right" w:leader="dot" w:pos="8255"/>
                </w:tabs>
                <w:rPr>
                  <w:rStyle w:val="48"/>
                  <w:rFonts w:hint="eastAsia" w:ascii="方正黑体_GBK" w:hAnsi="方正黑体_GBK" w:eastAsia="方正黑体_GBK" w:cs="方正黑体_GBK"/>
                  <w:color w:val="auto"/>
                  <w:sz w:val="24"/>
                  <w:szCs w:val="24"/>
                </w:rPr>
              </w:pPr>
              <w:r>
                <w:rPr>
                  <w:rFonts w:hint="eastAsia" w:ascii="方正黑体_GBK" w:hAnsi="方正黑体_GBK" w:eastAsia="方正黑体_GBK" w:cs="方正黑体_GBK"/>
                  <w:sz w:val="24"/>
                  <w:szCs w:val="24"/>
                </w:rPr>
                <w:fldChar w:fldCharType="begin"/>
              </w:r>
              <w:r>
                <w:rPr>
                  <w:rFonts w:hint="eastAsia" w:ascii="方正黑体_GBK" w:hAnsi="方正黑体_GBK" w:eastAsia="方正黑体_GBK" w:cs="方正黑体_GBK"/>
                  <w:sz w:val="24"/>
                  <w:szCs w:val="24"/>
                </w:rPr>
                <w:instrText xml:space="preserve"> TOC \o "1-3" \h \z \u </w:instrText>
              </w:r>
              <w:r>
                <w:rPr>
                  <w:rFonts w:hint="eastAsia" w:ascii="方正黑体_GBK" w:hAnsi="方正黑体_GBK" w:eastAsia="方正黑体_GBK" w:cs="方正黑体_GBK"/>
                  <w:sz w:val="24"/>
                  <w:szCs w:val="24"/>
                </w:rPr>
                <w:fldChar w:fldCharType="separate"/>
              </w:r>
              <w:r>
                <w:fldChar w:fldCharType="begin"/>
              </w:r>
              <w:r>
                <w:instrText xml:space="preserve"> HYPERLINK \l "_Toc531594733" </w:instrText>
              </w:r>
              <w:r>
                <w:fldChar w:fldCharType="separate"/>
              </w:r>
              <w:r>
                <w:rPr>
                  <w:rStyle w:val="48"/>
                  <w:rFonts w:hint="eastAsia" w:ascii="方正黑体_GBK" w:hAnsi="方正黑体_GBK" w:eastAsia="方正黑体_GBK" w:cs="方正黑体_GBK"/>
                  <w:color w:val="auto"/>
                  <w:sz w:val="24"/>
                  <w:szCs w:val="24"/>
                </w:rPr>
                <w:t>第一章 招标公告</w:t>
              </w:r>
              <w:r>
                <w:rPr>
                  <w:rFonts w:hint="eastAsia" w:ascii="方正黑体_GBK" w:hAnsi="方正黑体_GBK" w:eastAsia="方正黑体_GBK" w:cs="方正黑体_GBK"/>
                  <w:sz w:val="24"/>
                  <w:szCs w:val="24"/>
                </w:rPr>
                <w:tab/>
              </w:r>
              <w:r>
                <w:rPr>
                  <w:rFonts w:hint="eastAsia" w:ascii="方正黑体_GBK" w:hAnsi="方正黑体_GBK" w:eastAsia="方正黑体_GBK" w:cs="方正黑体_GBK"/>
                  <w:sz w:val="24"/>
                  <w:szCs w:val="24"/>
                </w:rPr>
                <w:fldChar w:fldCharType="end"/>
              </w:r>
              <w:r>
                <w:rPr>
                  <w:rFonts w:hint="eastAsia" w:ascii="方正黑体_GBK" w:hAnsi="方正黑体_GBK" w:eastAsia="方正黑体_GBK" w:cs="方正黑体_GBK"/>
                  <w:sz w:val="24"/>
                  <w:szCs w:val="24"/>
                </w:rPr>
                <w:t>3</w:t>
              </w:r>
            </w:p>
            <w:p w14:paraId="0EF5A910">
              <w:pPr>
                <w:rPr>
                  <w:rFonts w:hint="eastAsia" w:ascii="方正黑体_GBK" w:hAnsi="方正黑体_GBK" w:eastAsia="方正黑体_GBK" w:cs="方正黑体_GBK"/>
                  <w:szCs w:val="24"/>
                </w:rPr>
              </w:pPr>
            </w:p>
            <w:p w14:paraId="66519FB9">
              <w:pPr>
                <w:rPr>
                  <w:rFonts w:hint="eastAsia" w:ascii="方正黑体_GBK" w:hAnsi="方正黑体_GBK" w:eastAsia="方正黑体_GBK" w:cs="方正黑体_GBK"/>
                  <w:szCs w:val="24"/>
                </w:rPr>
              </w:pPr>
            </w:p>
            <w:p w14:paraId="1DF554A3">
              <w:pPr>
                <w:rPr>
                  <w:rFonts w:hint="eastAsia" w:ascii="方正黑体_GBK" w:hAnsi="方正黑体_GBK" w:eastAsia="方正黑体_GBK" w:cs="方正黑体_GBK"/>
                  <w:szCs w:val="24"/>
                </w:rPr>
              </w:pPr>
            </w:p>
            <w:p w14:paraId="300F39E2">
              <w:pPr>
                <w:rPr>
                  <w:rFonts w:hint="eastAsia" w:ascii="方正黑体_GBK" w:hAnsi="方正黑体_GBK" w:eastAsia="方正黑体_GBK" w:cs="方正黑体_GBK"/>
                  <w:szCs w:val="24"/>
                </w:rPr>
              </w:pPr>
            </w:p>
            <w:p w14:paraId="283361B2">
              <w:pPr>
                <w:pStyle w:val="30"/>
                <w:tabs>
                  <w:tab w:val="right" w:leader="dot" w:pos="8255"/>
                </w:tabs>
                <w:rPr>
                  <w:rStyle w:val="48"/>
                  <w:rFonts w:hint="eastAsia" w:ascii="方正黑体_GBK" w:hAnsi="方正黑体_GBK" w:eastAsia="方正黑体_GBK" w:cs="方正黑体_GBK"/>
                  <w:color w:val="auto"/>
                  <w:sz w:val="24"/>
                  <w:szCs w:val="24"/>
                </w:rPr>
              </w:pPr>
              <w:r>
                <w:fldChar w:fldCharType="begin"/>
              </w:r>
              <w:r>
                <w:instrText xml:space="preserve"> HYPERLINK \l "_Toc531594734" </w:instrText>
              </w:r>
              <w:r>
                <w:fldChar w:fldCharType="separate"/>
              </w:r>
              <w:r>
                <w:rPr>
                  <w:rStyle w:val="48"/>
                  <w:rFonts w:hint="eastAsia" w:ascii="方正黑体_GBK" w:hAnsi="方正黑体_GBK" w:eastAsia="方正黑体_GBK" w:cs="方正黑体_GBK"/>
                  <w:color w:val="auto"/>
                  <w:sz w:val="24"/>
                  <w:szCs w:val="24"/>
                </w:rPr>
                <w:t>第二章 投标人需知</w:t>
              </w:r>
              <w:r>
                <w:rPr>
                  <w:rFonts w:hint="eastAsia" w:ascii="方正黑体_GBK" w:hAnsi="方正黑体_GBK" w:eastAsia="方正黑体_GBK" w:cs="方正黑体_GBK"/>
                  <w:sz w:val="24"/>
                  <w:szCs w:val="24"/>
                </w:rPr>
                <w:tab/>
              </w:r>
              <w:r>
                <w:rPr>
                  <w:rFonts w:hint="eastAsia" w:ascii="方正黑体_GBK" w:hAnsi="方正黑体_GBK" w:eastAsia="方正黑体_GBK" w:cs="方正黑体_GBK"/>
                  <w:sz w:val="24"/>
                  <w:szCs w:val="24"/>
                </w:rPr>
                <w:fldChar w:fldCharType="end"/>
              </w:r>
              <w:r>
                <w:rPr>
                  <w:rFonts w:hint="eastAsia" w:ascii="方正黑体_GBK" w:hAnsi="方正黑体_GBK" w:eastAsia="方正黑体_GBK" w:cs="方正黑体_GBK"/>
                  <w:sz w:val="24"/>
                  <w:szCs w:val="24"/>
                </w:rPr>
                <w:t>5</w:t>
              </w:r>
            </w:p>
            <w:p w14:paraId="3441099E">
              <w:pPr>
                <w:rPr>
                  <w:rFonts w:hint="eastAsia" w:ascii="方正黑体_GBK" w:hAnsi="方正黑体_GBK" w:eastAsia="方正黑体_GBK" w:cs="方正黑体_GBK"/>
                  <w:szCs w:val="24"/>
                </w:rPr>
              </w:pPr>
            </w:p>
            <w:p w14:paraId="6ED37BBA">
              <w:pPr>
                <w:rPr>
                  <w:rFonts w:hint="eastAsia" w:ascii="方正黑体_GBK" w:hAnsi="方正黑体_GBK" w:eastAsia="方正黑体_GBK" w:cs="方正黑体_GBK"/>
                  <w:szCs w:val="24"/>
                </w:rPr>
              </w:pPr>
            </w:p>
            <w:p w14:paraId="6105D325">
              <w:pPr>
                <w:rPr>
                  <w:rFonts w:hint="eastAsia" w:ascii="方正黑体_GBK" w:hAnsi="方正黑体_GBK" w:eastAsia="方正黑体_GBK" w:cs="方正黑体_GBK"/>
                  <w:szCs w:val="24"/>
                </w:rPr>
              </w:pPr>
            </w:p>
            <w:p w14:paraId="44CF0476">
              <w:pPr>
                <w:rPr>
                  <w:rFonts w:hint="eastAsia" w:ascii="方正黑体_GBK" w:hAnsi="方正黑体_GBK" w:eastAsia="方正黑体_GBK" w:cs="方正黑体_GBK"/>
                  <w:szCs w:val="24"/>
                </w:rPr>
              </w:pPr>
            </w:p>
            <w:p w14:paraId="41272192">
              <w:pPr>
                <w:pStyle w:val="30"/>
                <w:tabs>
                  <w:tab w:val="right" w:leader="dot" w:pos="8255"/>
                </w:tabs>
                <w:rPr>
                  <w:rStyle w:val="48"/>
                  <w:rFonts w:hint="eastAsia" w:ascii="方正黑体_GBK" w:hAnsi="方正黑体_GBK" w:eastAsia="方正黑体_GBK" w:cs="方正黑体_GBK"/>
                  <w:color w:val="auto"/>
                  <w:sz w:val="24"/>
                  <w:szCs w:val="24"/>
                </w:rPr>
              </w:pPr>
              <w:r>
                <w:rPr>
                  <w:rFonts w:hint="eastAsia" w:ascii="方正黑体_GBK" w:hAnsi="方正黑体_GBK" w:eastAsia="方正黑体_GBK" w:cs="方正黑体_GBK"/>
                  <w:sz w:val="24"/>
                  <w:szCs w:val="24"/>
                </w:rPr>
                <w:fldChar w:fldCharType="begin"/>
              </w:r>
              <w:r>
                <w:rPr>
                  <w:rFonts w:hint="eastAsia" w:ascii="方正黑体_GBK" w:hAnsi="方正黑体_GBK" w:eastAsia="方正黑体_GBK" w:cs="方正黑体_GBK"/>
                  <w:sz w:val="24"/>
                  <w:szCs w:val="24"/>
                </w:rPr>
                <w:instrText xml:space="preserve"> HYPERLINK \l "_第三章 招标数量及参数要求" </w:instrText>
              </w:r>
              <w:r>
                <w:rPr>
                  <w:rFonts w:hint="eastAsia" w:ascii="方正黑体_GBK" w:hAnsi="方正黑体_GBK" w:eastAsia="方正黑体_GBK" w:cs="方正黑体_GBK"/>
                  <w:sz w:val="24"/>
                  <w:szCs w:val="24"/>
                </w:rPr>
                <w:fldChar w:fldCharType="separate"/>
              </w:r>
              <w:r>
                <w:rPr>
                  <w:rStyle w:val="48"/>
                  <w:rFonts w:hint="eastAsia" w:ascii="方正黑体_GBK" w:hAnsi="方正黑体_GBK" w:eastAsia="方正黑体_GBK" w:cs="方正黑体_GBK"/>
                  <w:color w:val="auto"/>
                  <w:sz w:val="24"/>
                  <w:szCs w:val="24"/>
                </w:rPr>
                <w:t>第三章 招标数量及参数要求</w:t>
              </w:r>
              <w:r>
                <w:rPr>
                  <w:rStyle w:val="48"/>
                  <w:rFonts w:hint="eastAsia" w:ascii="方正黑体_GBK" w:hAnsi="方正黑体_GBK" w:eastAsia="方正黑体_GBK" w:cs="方正黑体_GBK"/>
                  <w:color w:val="auto"/>
                  <w:sz w:val="24"/>
                  <w:szCs w:val="24"/>
                </w:rPr>
                <w:tab/>
              </w:r>
              <w:r>
                <w:rPr>
                  <w:rStyle w:val="48"/>
                  <w:rFonts w:hint="eastAsia" w:ascii="方正黑体_GBK" w:hAnsi="方正黑体_GBK" w:eastAsia="方正黑体_GBK" w:cs="方正黑体_GBK"/>
                  <w:color w:val="auto"/>
                  <w:sz w:val="24"/>
                  <w:szCs w:val="24"/>
                </w:rPr>
                <w:t>22</w:t>
              </w:r>
            </w:p>
            <w:p w14:paraId="6D13B6F5">
              <w:pPr>
                <w:rPr>
                  <w:rFonts w:hint="eastAsia" w:ascii="方正黑体_GBK" w:hAnsi="方正黑体_GBK" w:eastAsia="方正黑体_GBK" w:cs="方正黑体_GBK"/>
                  <w:szCs w:val="24"/>
                </w:rPr>
              </w:pPr>
              <w:r>
                <w:rPr>
                  <w:rFonts w:hint="eastAsia" w:ascii="方正黑体_GBK" w:hAnsi="方正黑体_GBK" w:eastAsia="方正黑体_GBK" w:cs="方正黑体_GBK"/>
                  <w:szCs w:val="24"/>
                </w:rPr>
                <w:fldChar w:fldCharType="end"/>
              </w:r>
            </w:p>
            <w:p w14:paraId="58B18A73">
              <w:pPr>
                <w:rPr>
                  <w:rFonts w:hint="eastAsia" w:ascii="方正黑体_GBK" w:hAnsi="方正黑体_GBK" w:eastAsia="方正黑体_GBK" w:cs="方正黑体_GBK"/>
                  <w:szCs w:val="24"/>
                </w:rPr>
              </w:pPr>
            </w:p>
            <w:p w14:paraId="4B22992D">
              <w:pPr>
                <w:rPr>
                  <w:rFonts w:hint="eastAsia" w:ascii="方正黑体_GBK" w:hAnsi="方正黑体_GBK" w:eastAsia="方正黑体_GBK" w:cs="方正黑体_GBK"/>
                  <w:szCs w:val="24"/>
                </w:rPr>
              </w:pPr>
            </w:p>
            <w:p w14:paraId="7318132B">
              <w:pPr>
                <w:rPr>
                  <w:rFonts w:hint="eastAsia" w:ascii="方正黑体_GBK" w:hAnsi="方正黑体_GBK" w:eastAsia="方正黑体_GBK" w:cs="方正黑体_GBK"/>
                  <w:szCs w:val="24"/>
                </w:rPr>
              </w:pPr>
            </w:p>
            <w:p w14:paraId="7E544C0A">
              <w:pPr>
                <w:pStyle w:val="30"/>
                <w:tabs>
                  <w:tab w:val="right" w:leader="dot" w:pos="8255"/>
                </w:tabs>
                <w:rPr>
                  <w:rFonts w:hint="eastAsia" w:ascii="方正黑体_GBK" w:hAnsi="方正黑体_GBK" w:eastAsia="方正黑体_GBK" w:cs="方正黑体_GBK"/>
                  <w:szCs w:val="24"/>
                </w:rPr>
              </w:pPr>
            </w:p>
            <w:p w14:paraId="63286E9C">
              <w:pPr>
                <w:pStyle w:val="30"/>
                <w:tabs>
                  <w:tab w:val="right" w:leader="dot" w:pos="8255"/>
                </w:tabs>
                <w:rPr>
                  <w:rFonts w:hint="eastAsia" w:ascii="方正黑体_GBK" w:hAnsi="方正黑体_GBK" w:eastAsia="方正黑体_GBK" w:cs="方正黑体_GBK"/>
                  <w:sz w:val="24"/>
                  <w:szCs w:val="24"/>
                </w:rPr>
              </w:pPr>
              <w:r>
                <w:fldChar w:fldCharType="begin"/>
              </w:r>
              <w:r>
                <w:instrText xml:space="preserve"> HYPERLINK \l "_Toc531594799" </w:instrText>
              </w:r>
              <w:r>
                <w:fldChar w:fldCharType="separate"/>
              </w:r>
              <w:r>
                <w:rPr>
                  <w:rStyle w:val="48"/>
                  <w:rFonts w:hint="eastAsia" w:ascii="方正黑体_GBK" w:hAnsi="方正黑体_GBK" w:eastAsia="方正黑体_GBK" w:cs="方正黑体_GBK"/>
                  <w:color w:val="auto"/>
                  <w:sz w:val="24"/>
                  <w:szCs w:val="24"/>
                </w:rPr>
                <w:t>第四章 评标原则</w:t>
              </w:r>
              <w:r>
                <w:rPr>
                  <w:rFonts w:hint="eastAsia" w:ascii="方正黑体_GBK" w:hAnsi="方正黑体_GBK" w:eastAsia="方正黑体_GBK" w:cs="方正黑体_GBK"/>
                  <w:sz w:val="24"/>
                  <w:szCs w:val="24"/>
                </w:rPr>
                <w:tab/>
              </w:r>
              <w:r>
                <w:rPr>
                  <w:rFonts w:hint="eastAsia" w:ascii="方正黑体_GBK" w:hAnsi="方正黑体_GBK" w:eastAsia="方正黑体_GBK" w:cs="方正黑体_GBK"/>
                  <w:sz w:val="24"/>
                  <w:szCs w:val="24"/>
                </w:rPr>
                <w:fldChar w:fldCharType="end"/>
              </w:r>
              <w:r>
                <w:rPr>
                  <w:rFonts w:hint="eastAsia" w:ascii="方正黑体_GBK" w:hAnsi="方正黑体_GBK" w:eastAsia="方正黑体_GBK" w:cs="方正黑体_GBK"/>
                  <w:sz w:val="24"/>
                  <w:szCs w:val="24"/>
                </w:rPr>
                <w:t>27</w:t>
              </w:r>
            </w:p>
            <w:p w14:paraId="182F5F2D">
              <w:pPr>
                <w:pStyle w:val="30"/>
                <w:tabs>
                  <w:tab w:val="right" w:leader="dot" w:pos="8255"/>
                </w:tabs>
                <w:rPr>
                  <w:rFonts w:hint="eastAsia" w:ascii="方正黑体_GBK" w:hAnsi="方正黑体_GBK" w:eastAsia="方正黑体_GBK" w:cs="方正黑体_GBK"/>
                  <w:sz w:val="24"/>
                  <w:szCs w:val="24"/>
                </w:rPr>
              </w:pPr>
            </w:p>
            <w:p w14:paraId="42762A9D">
              <w:pPr>
                <w:pStyle w:val="30"/>
                <w:tabs>
                  <w:tab w:val="right" w:leader="dot" w:pos="8255"/>
                </w:tabs>
                <w:rPr>
                  <w:rFonts w:hint="eastAsia" w:ascii="方正黑体_GBK" w:hAnsi="方正黑体_GBK" w:eastAsia="方正黑体_GBK" w:cs="方正黑体_GBK"/>
                  <w:sz w:val="24"/>
                  <w:szCs w:val="24"/>
                </w:rPr>
              </w:pPr>
            </w:p>
            <w:p w14:paraId="4ABA3761">
              <w:pPr>
                <w:pStyle w:val="30"/>
                <w:tabs>
                  <w:tab w:val="right" w:leader="dot" w:pos="8255"/>
                </w:tabs>
                <w:rPr>
                  <w:rFonts w:hint="eastAsia" w:ascii="方正黑体_GBK" w:hAnsi="方正黑体_GBK" w:eastAsia="方正黑体_GBK" w:cs="方正黑体_GBK"/>
                  <w:sz w:val="24"/>
                  <w:szCs w:val="24"/>
                </w:rPr>
              </w:pPr>
            </w:p>
            <w:p w14:paraId="3235589A">
              <w:pPr>
                <w:pStyle w:val="30"/>
                <w:tabs>
                  <w:tab w:val="right" w:leader="dot" w:pos="8255"/>
                </w:tabs>
                <w:rPr>
                  <w:rFonts w:hint="eastAsia" w:ascii="方正黑体_GBK" w:hAnsi="方正黑体_GBK" w:eastAsia="方正黑体_GBK" w:cs="方正黑体_GBK"/>
                  <w:sz w:val="24"/>
                  <w:szCs w:val="24"/>
                </w:rPr>
              </w:pPr>
            </w:p>
            <w:p w14:paraId="03862F81">
              <w:pPr>
                <w:pStyle w:val="30"/>
                <w:tabs>
                  <w:tab w:val="right" w:leader="dot" w:pos="8255"/>
                </w:tabs>
                <w:rPr>
                  <w:rStyle w:val="48"/>
                  <w:color w:val="auto"/>
                </w:rPr>
              </w:pPr>
              <w:r>
                <w:fldChar w:fldCharType="begin"/>
              </w:r>
              <w:r>
                <w:instrText xml:space="preserve"> HYPERLINK \l "_第五章 投标文件格式" </w:instrText>
              </w:r>
              <w:r>
                <w:fldChar w:fldCharType="separate"/>
              </w:r>
              <w:r>
                <w:rPr>
                  <w:rStyle w:val="48"/>
                  <w:rFonts w:hint="eastAsia" w:ascii="方正黑体_GBK" w:hAnsi="方正黑体_GBK" w:eastAsia="方正黑体_GBK" w:cs="方正黑体_GBK"/>
                  <w:color w:val="auto"/>
                  <w:sz w:val="24"/>
                  <w:szCs w:val="24"/>
                </w:rPr>
                <w:t>第五章 投标文件格式</w:t>
              </w:r>
              <w:r>
                <w:rPr>
                  <w:rStyle w:val="48"/>
                  <w:rFonts w:hint="eastAsia"/>
                  <w:color w:val="auto"/>
                </w:rPr>
                <w:tab/>
              </w:r>
              <w:r>
                <w:rPr>
                  <w:rStyle w:val="48"/>
                  <w:rFonts w:hint="eastAsia"/>
                  <w:color w:val="auto"/>
                </w:rPr>
                <w:fldChar w:fldCharType="end"/>
              </w:r>
              <w:r>
                <w:rPr>
                  <w:rStyle w:val="48"/>
                  <w:rFonts w:hint="eastAsia"/>
                  <w:color w:val="auto"/>
                </w:rPr>
                <w:t>30</w:t>
              </w:r>
            </w:p>
            <w:p w14:paraId="775D4E1E">
              <w:pPr>
                <w:rPr>
                  <w:rFonts w:ascii="Times New Roman" w:hAnsi="Times New Roman" w:eastAsia="方正黑体_GBK" w:cs="Times New Roman"/>
                  <w:b/>
                  <w:szCs w:val="24"/>
                </w:rPr>
              </w:pPr>
              <w:r>
                <w:rPr>
                  <w:rFonts w:hint="eastAsia" w:ascii="方正黑体_GBK" w:hAnsi="方正黑体_GBK" w:eastAsia="方正黑体_GBK" w:cs="方正黑体_GBK"/>
                  <w:szCs w:val="24"/>
                  <w:lang w:val="zh-CN"/>
                </w:rPr>
                <w:fldChar w:fldCharType="end"/>
              </w:r>
            </w:p>
          </w:sdtContent>
        </w:sdt>
      </w:sdtContent>
    </w:sdt>
    <w:p w14:paraId="56E6AE9E">
      <w:pPr>
        <w:pStyle w:val="2"/>
        <w:numPr>
          <w:ilvl w:val="0"/>
          <w:numId w:val="0"/>
        </w:numPr>
        <w:spacing w:before="0" w:after="0" w:line="440" w:lineRule="exact"/>
        <w:jc w:val="center"/>
        <w:rPr>
          <w:rFonts w:hint="eastAsia" w:ascii="方正小标宋_GBK" w:hAnsi="方正小标宋_GBK" w:eastAsia="方正小标宋_GBK" w:cs="方正小标宋_GBK"/>
          <w:b w:val="0"/>
          <w:bCs w:val="0"/>
        </w:rPr>
      </w:pPr>
    </w:p>
    <w:p w14:paraId="751153B7">
      <w:pPr>
        <w:rPr>
          <w:rFonts w:hint="eastAsia" w:ascii="方正小标宋_GBK" w:hAnsi="方正小标宋_GBK" w:eastAsia="方正小标宋_GBK" w:cs="方正小标宋_GBK"/>
        </w:rPr>
      </w:pPr>
    </w:p>
    <w:p w14:paraId="36A400B6">
      <w:pPr>
        <w:rPr>
          <w:rFonts w:hint="eastAsia" w:ascii="方正小标宋_GBK" w:hAnsi="方正小标宋_GBK" w:eastAsia="方正小标宋_GBK" w:cs="方正小标宋_GBK"/>
        </w:rPr>
      </w:pPr>
      <w:r>
        <w:rPr>
          <w:rFonts w:hint="eastAsia" w:ascii="方正小标宋_GBK" w:hAnsi="方正小标宋_GBK" w:eastAsia="方正小标宋_GBK" w:cs="方正小标宋_GBK"/>
        </w:rPr>
        <w:br w:type="page"/>
      </w:r>
    </w:p>
    <w:p w14:paraId="6D8E3A6B">
      <w:pPr>
        <w:rPr>
          <w:rFonts w:hint="eastAsia" w:ascii="方正小标宋_GBK" w:hAnsi="方正小标宋_GBK" w:eastAsia="方正小标宋_GBK" w:cs="方正小标宋_GBK"/>
        </w:rPr>
      </w:pPr>
    </w:p>
    <w:p w14:paraId="542701CD">
      <w:pPr>
        <w:pStyle w:val="2"/>
        <w:numPr>
          <w:ilvl w:val="0"/>
          <w:numId w:val="0"/>
        </w:numPr>
        <w:spacing w:before="0" w:after="0" w:line="440" w:lineRule="exact"/>
        <w:jc w:val="center"/>
        <w:rPr>
          <w:rFonts w:hint="eastAsia" w:ascii="方正小标宋_GBK" w:hAnsi="方正小标宋_GBK" w:eastAsia="方正小标宋_GBK" w:cs="方正小标宋_GBK"/>
          <w:b w:val="0"/>
          <w:bCs w:val="0"/>
        </w:rPr>
      </w:pPr>
      <w:r>
        <w:rPr>
          <w:rFonts w:hint="eastAsia" w:ascii="方正小标宋_GBK" w:hAnsi="方正小标宋_GBK" w:eastAsia="方正小标宋_GBK" w:cs="方正小标宋_GBK"/>
          <w:b w:val="0"/>
          <w:bCs w:val="0"/>
        </w:rPr>
        <w:t>第一章 招标公告</w:t>
      </w:r>
    </w:p>
    <w:p w14:paraId="40E38491">
      <w:pPr>
        <w:spacing w:line="380" w:lineRule="exact"/>
        <w:ind w:firstLine="640" w:firstLineChars="200"/>
        <w:jc w:val="left"/>
        <w:rPr>
          <w:rFonts w:ascii="Times New Roman" w:hAnsi="Times New Roman" w:eastAsia="方正仿宋_GBK" w:cs="Times New Roman"/>
          <w:sz w:val="32"/>
          <w:szCs w:val="32"/>
          <w:u w:val="single"/>
        </w:rPr>
      </w:pPr>
      <w:r>
        <w:rPr>
          <w:rFonts w:ascii="Times New Roman" w:hAnsi="Times New Roman" w:eastAsia="方正仿宋_GBK" w:cs="Times New Roman"/>
          <w:sz w:val="32"/>
          <w:szCs w:val="32"/>
          <w:u w:val="single"/>
        </w:rPr>
        <w:t>重庆财经学院</w:t>
      </w:r>
      <w:r>
        <w:rPr>
          <w:rFonts w:ascii="Times New Roman" w:hAnsi="Times New Roman" w:eastAsia="方正仿宋_GBK" w:cs="Times New Roman"/>
          <w:sz w:val="32"/>
          <w:szCs w:val="32"/>
        </w:rPr>
        <w:t>（采购人）拟对“</w:t>
      </w:r>
      <w:r>
        <w:rPr>
          <w:rFonts w:hint="eastAsia" w:ascii="Times New Roman" w:hAnsi="Times New Roman" w:eastAsia="方正仿宋_GBK" w:cs="Times New Roman"/>
          <w:sz w:val="32"/>
          <w:szCs w:val="32"/>
          <w:u w:val="single"/>
        </w:rPr>
        <w:t>重庆财经学院人力资源管理与服务平台采购项目</w:t>
      </w:r>
      <w:r>
        <w:rPr>
          <w:rFonts w:ascii="Times New Roman" w:hAnsi="Times New Roman" w:eastAsia="方正仿宋_GBK" w:cs="Times New Roman"/>
          <w:sz w:val="32"/>
          <w:szCs w:val="32"/>
        </w:rPr>
        <w:t>”进行国内公开招标，兹邀请符合本次招标要求的供应商参加投标。</w:t>
      </w:r>
    </w:p>
    <w:p w14:paraId="2EEAD9B5">
      <w:pPr>
        <w:spacing w:line="380" w:lineRule="exact"/>
        <w:ind w:firstLine="640" w:firstLineChars="200"/>
        <w:rPr>
          <w:rFonts w:ascii="Times New Roman" w:hAnsi="Times New Roman" w:eastAsia="方正仿宋_GBK" w:cs="Times New Roman"/>
          <w:sz w:val="32"/>
          <w:szCs w:val="32"/>
        </w:rPr>
      </w:pPr>
      <w:r>
        <w:rPr>
          <w:rFonts w:hint="eastAsia" w:ascii="方正楷体_GBK" w:hAnsi="方正楷体_GBK" w:eastAsia="方正楷体_GBK" w:cs="方正楷体_GBK"/>
          <w:b/>
          <w:bCs/>
          <w:sz w:val="32"/>
          <w:szCs w:val="32"/>
        </w:rPr>
        <w:t>一、招标项目内容：</w:t>
      </w:r>
      <w:r>
        <w:rPr>
          <w:rFonts w:ascii="Times New Roman" w:hAnsi="Times New Roman" w:eastAsia="方正仿宋_GBK" w:cs="Times New Roman"/>
          <w:sz w:val="32"/>
          <w:szCs w:val="32"/>
        </w:rPr>
        <w:t>（详见招标文件第三章 招标数量及参数要求）。</w:t>
      </w:r>
    </w:p>
    <w:p w14:paraId="4D7F9803">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项目内容的简介：人力资源管理与服务平台是在低代码开发平台的基础上以招聘与人才引进、基础人事管理、师资培养、薪酬福利、岗位评聘、考核与测评为核心，整合科研、教学、财务等其他业务系统的数据和流程，面向全校教职工、校领导、二级单位和相关职能部门提供服务。</w:t>
      </w:r>
    </w:p>
    <w:p w14:paraId="4D28D898">
      <w:pPr>
        <w:spacing w:line="380" w:lineRule="exact"/>
        <w:ind w:firstLine="560" w:firstLineChars="200"/>
        <w:rPr>
          <w:rFonts w:ascii="Times New Roman" w:hAnsi="Times New Roman" w:eastAsia="方正仿宋_GBK" w:cs="Times New Roman"/>
          <w:sz w:val="28"/>
          <w:szCs w:val="28"/>
        </w:rPr>
      </w:pPr>
    </w:p>
    <w:p w14:paraId="296C92D2">
      <w:pPr>
        <w:spacing w:line="380" w:lineRule="exact"/>
        <w:ind w:firstLine="560" w:firstLineChars="200"/>
        <w:rPr>
          <w:rFonts w:ascii="Times New Roman" w:hAnsi="Times New Roman" w:eastAsia="方正仿宋_GBK" w:cs="Times New Roman"/>
          <w:sz w:val="28"/>
          <w:szCs w:val="28"/>
        </w:rPr>
      </w:pPr>
      <w:r>
        <w:rPr>
          <w:rFonts w:hint="eastAsia" w:ascii="Times New Roman" w:hAnsi="Times New Roman" w:eastAsia="方正仿宋_GBK" w:cs="Times New Roman"/>
          <w:b/>
          <w:bCs/>
          <w:sz w:val="28"/>
          <w:szCs w:val="28"/>
        </w:rPr>
        <w:t>二、资金来源：</w:t>
      </w:r>
      <w:r>
        <w:rPr>
          <w:rFonts w:hint="eastAsia" w:ascii="Times New Roman" w:hAnsi="Times New Roman" w:eastAsia="方正仿宋_GBK" w:cs="Times New Roman"/>
          <w:sz w:val="28"/>
          <w:szCs w:val="28"/>
        </w:rPr>
        <w:t>学校自筹。</w:t>
      </w:r>
    </w:p>
    <w:p w14:paraId="23BE19A7">
      <w:pPr>
        <w:spacing w:line="380" w:lineRule="exact"/>
        <w:ind w:firstLine="560" w:firstLineChars="200"/>
        <w:rPr>
          <w:rFonts w:ascii="Times New Roman" w:hAnsi="Times New Roman" w:eastAsia="方正仿宋_GBK" w:cs="Times New Roman"/>
          <w:sz w:val="28"/>
          <w:szCs w:val="28"/>
        </w:rPr>
      </w:pPr>
    </w:p>
    <w:p w14:paraId="2431BA2A">
      <w:pPr>
        <w:spacing w:line="380" w:lineRule="exact"/>
        <w:ind w:left="140" w:firstLine="420"/>
        <w:rPr>
          <w:rFonts w:hint="eastAsia" w:ascii="方正楷体_GBK" w:hAnsi="方正楷体_GBK" w:eastAsia="方正楷体_GBK" w:cs="方正楷体_GBK"/>
          <w:b/>
          <w:bCs/>
          <w:sz w:val="32"/>
          <w:szCs w:val="32"/>
        </w:rPr>
      </w:pPr>
      <w:r>
        <w:rPr>
          <w:rFonts w:ascii="方正楷体_GBK" w:hAnsi="方正楷体_GBK" w:eastAsia="方正楷体_GBK" w:cs="方正楷体_GBK"/>
          <w:b/>
          <w:bCs/>
          <w:sz w:val="32"/>
          <w:szCs w:val="32"/>
        </w:rPr>
        <w:t>三、</w:t>
      </w:r>
      <w:r>
        <w:rPr>
          <w:rFonts w:hint="eastAsia" w:ascii="方正楷体_GBK" w:hAnsi="方正楷体_GBK" w:eastAsia="方正楷体_GBK" w:cs="方正楷体_GBK"/>
          <w:b/>
          <w:bCs/>
          <w:sz w:val="32"/>
          <w:szCs w:val="32"/>
        </w:rPr>
        <w:t>投标人资格要求</w:t>
      </w:r>
    </w:p>
    <w:p w14:paraId="1F5BE077">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1．投标人具有独立承担民事责任的能力，需提供营业执照等证明文件；</w:t>
      </w:r>
    </w:p>
    <w:p w14:paraId="20EF3FEE">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2．投标人具有良好的商业信誉和健全的财务会计制度，需提供近三年的财务报表</w:t>
      </w:r>
      <w:r>
        <w:rPr>
          <w:rFonts w:hint="eastAsia" w:ascii="方正仿宋_GBK" w:hAnsi="方正仿宋_GBK" w:eastAsia="方正仿宋_GBK" w:cs="方正仿宋_GBK"/>
          <w:sz w:val="30"/>
          <w:szCs w:val="30"/>
        </w:rPr>
        <w:t>（包括资产负债表、利润表和现金流量表）</w:t>
      </w:r>
      <w:r>
        <w:rPr>
          <w:rFonts w:hint="eastAsia" w:ascii="Times New Roman" w:hAnsi="Times New Roman" w:eastAsia="方正仿宋_GBK" w:cs="Times New Roman"/>
          <w:sz w:val="32"/>
          <w:szCs w:val="32"/>
        </w:rPr>
        <w:t>；</w:t>
      </w:r>
    </w:p>
    <w:p w14:paraId="60D94024">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3．投标人具有依法缴纳税收和社会保障资金的良好纪录；</w:t>
      </w:r>
    </w:p>
    <w:p w14:paraId="532A02F0">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4．投标人具有履行合同所必需的专业技术能力；</w:t>
      </w:r>
    </w:p>
    <w:p w14:paraId="0BAF7D3B">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5．投标人参加招标采购活动前三年内，没有骗取中标行为，无不正当理由放弃中标（成交）行为，未进行过恶意投诉，在经营活动中没有违法、违规记录；</w:t>
      </w:r>
    </w:p>
    <w:p w14:paraId="3FABC820">
      <w:pPr>
        <w:spacing w:line="380" w:lineRule="exact"/>
        <w:ind w:left="220" w:firstLine="420" w:firstLineChars="150"/>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6</w:t>
      </w:r>
      <w:r>
        <w:rPr>
          <w:rFonts w:hint="eastAsia" w:ascii="Times New Roman" w:hAnsi="Times New Roman" w:eastAsia="方正仿宋_GBK" w:cs="Times New Roman"/>
          <w:sz w:val="32"/>
          <w:szCs w:val="32"/>
        </w:rPr>
        <w:t>．</w:t>
      </w:r>
      <w:r>
        <w:rPr>
          <w:rFonts w:hint="eastAsia" w:ascii="Times New Roman" w:hAnsi="Times New Roman" w:eastAsia="方正仿宋_GBK" w:cs="Times New Roman"/>
          <w:sz w:val="28"/>
          <w:szCs w:val="28"/>
        </w:rPr>
        <w:t xml:space="preserve">投标人具有完善的质量保证和售后服务体系； </w:t>
      </w:r>
    </w:p>
    <w:p w14:paraId="679D3BCD">
      <w:pPr>
        <w:spacing w:line="380" w:lineRule="exact"/>
        <w:ind w:left="220" w:firstLine="420"/>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7</w:t>
      </w:r>
      <w:r>
        <w:rPr>
          <w:rFonts w:hint="eastAsia" w:ascii="Times New Roman" w:hAnsi="Times New Roman" w:eastAsia="方正仿宋_GBK" w:cs="Times New Roman"/>
          <w:sz w:val="32"/>
          <w:szCs w:val="32"/>
        </w:rPr>
        <w:t>．</w:t>
      </w:r>
      <w:r>
        <w:rPr>
          <w:rFonts w:hint="eastAsia" w:ascii="Times New Roman" w:hAnsi="Times New Roman" w:eastAsia="方正仿宋_GBK" w:cs="Times New Roman"/>
          <w:sz w:val="28"/>
          <w:szCs w:val="28"/>
        </w:rPr>
        <w:t>投标方需提供2023年1月1日以来签署的高校相关项目合同复印件（单个合同金额至少40万元，或累计合同金额至少150万元）及类似项目履约能力证明材料；</w:t>
      </w:r>
    </w:p>
    <w:p w14:paraId="157E70A6">
      <w:pPr>
        <w:spacing w:line="380" w:lineRule="exact"/>
        <w:ind w:firstLine="560" w:firstLineChars="200"/>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8.投标人具有本项目软件的知识产权或经销授权。</w:t>
      </w:r>
    </w:p>
    <w:p w14:paraId="24B75245">
      <w:pPr>
        <w:spacing w:line="380" w:lineRule="exact"/>
        <w:ind w:firstLine="640" w:firstLineChars="200"/>
        <w:rPr>
          <w:rFonts w:hint="eastAsia" w:ascii="方正楷体_GBK" w:hAnsi="方正楷体_GBK" w:eastAsia="方正楷体_GBK" w:cs="方正楷体_GBK"/>
          <w:b/>
          <w:bCs/>
          <w:sz w:val="32"/>
          <w:szCs w:val="32"/>
        </w:rPr>
      </w:pPr>
      <w:r>
        <w:rPr>
          <w:rFonts w:ascii="方正楷体_GBK" w:hAnsi="方正楷体_GBK" w:eastAsia="方正楷体_GBK" w:cs="方正楷体_GBK"/>
          <w:b/>
          <w:bCs/>
          <w:sz w:val="32"/>
          <w:szCs w:val="32"/>
        </w:rPr>
        <w:t>四、投标、开标有关说明</w:t>
      </w:r>
    </w:p>
    <w:p w14:paraId="0DB076CC">
      <w:pPr>
        <w:spacing w:line="380" w:lineRule="exact"/>
        <w:ind w:firstLine="640" w:firstLineChars="200"/>
        <w:rPr>
          <w:rFonts w:ascii="Times New Roman" w:hAnsi="Times New Roman" w:eastAsia="方正仿宋_GBK" w:cs="Times New Roman"/>
          <w:b/>
          <w:bCs/>
          <w:sz w:val="32"/>
          <w:szCs w:val="32"/>
        </w:rPr>
      </w:pPr>
      <w:r>
        <w:rPr>
          <w:rFonts w:hint="eastAsia" w:ascii="Times New Roman" w:hAnsi="Times New Roman" w:eastAsia="方正仿宋_GBK" w:cs="Times New Roman"/>
          <w:sz w:val="32"/>
          <w:szCs w:val="32"/>
        </w:rPr>
        <w:t>（一）招标文件公告期限：</w:t>
      </w:r>
      <w:r>
        <w:rPr>
          <w:rFonts w:ascii="Times New Roman" w:hAnsi="Times New Roman" w:eastAsia="方正仿宋_GBK" w:cs="Times New Roman"/>
          <w:sz w:val="28"/>
          <w:szCs w:val="28"/>
        </w:rPr>
        <w:t>202</w:t>
      </w:r>
      <w:r>
        <w:rPr>
          <w:rFonts w:hint="eastAsia" w:ascii="Times New Roman" w:hAnsi="Times New Roman" w:eastAsia="方正仿宋_GBK" w:cs="Times New Roman"/>
          <w:sz w:val="28"/>
          <w:szCs w:val="28"/>
        </w:rPr>
        <w:t xml:space="preserve">6年 </w:t>
      </w:r>
      <w:r>
        <w:rPr>
          <w:rFonts w:hint="eastAsia" w:ascii="Times New Roman" w:hAnsi="Times New Roman" w:eastAsia="方正仿宋_GBK" w:cs="Times New Roman"/>
          <w:sz w:val="28"/>
          <w:szCs w:val="28"/>
          <w:lang w:val="en-US" w:eastAsia="zh-CN"/>
        </w:rPr>
        <w:t>3</w:t>
      </w:r>
      <w:r>
        <w:rPr>
          <w:rFonts w:hint="eastAsia" w:ascii="Times New Roman" w:hAnsi="Times New Roman" w:eastAsia="方正仿宋_GBK" w:cs="Times New Roman"/>
          <w:sz w:val="28"/>
          <w:szCs w:val="28"/>
        </w:rPr>
        <w:t xml:space="preserve">月 </w:t>
      </w:r>
      <w:r>
        <w:rPr>
          <w:rFonts w:hint="eastAsia" w:ascii="Times New Roman" w:hAnsi="Times New Roman" w:eastAsia="方正仿宋_GBK" w:cs="Times New Roman"/>
          <w:sz w:val="28"/>
          <w:szCs w:val="28"/>
          <w:lang w:val="en-US" w:eastAsia="zh-CN"/>
        </w:rPr>
        <w:t>11</w:t>
      </w:r>
      <w:r>
        <w:rPr>
          <w:rFonts w:hint="eastAsia" w:ascii="Times New Roman" w:hAnsi="Times New Roman" w:eastAsia="方正仿宋_GBK" w:cs="Times New Roman"/>
          <w:sz w:val="28"/>
          <w:szCs w:val="28"/>
        </w:rPr>
        <w:t xml:space="preserve">日至 </w:t>
      </w:r>
      <w:r>
        <w:rPr>
          <w:rFonts w:ascii="Times New Roman" w:hAnsi="Times New Roman" w:eastAsia="方正仿宋_GBK" w:cs="Times New Roman"/>
          <w:sz w:val="28"/>
          <w:szCs w:val="28"/>
        </w:rPr>
        <w:t>202</w:t>
      </w:r>
      <w:r>
        <w:rPr>
          <w:rFonts w:hint="eastAsia" w:ascii="Times New Roman" w:hAnsi="Times New Roman" w:eastAsia="方正仿宋_GBK" w:cs="Times New Roman"/>
          <w:sz w:val="28"/>
          <w:szCs w:val="28"/>
        </w:rPr>
        <w:t>6</w:t>
      </w:r>
      <w:r>
        <w:rPr>
          <w:rFonts w:ascii="Times New Roman" w:hAnsi="Times New Roman" w:eastAsia="方正仿宋_GBK" w:cs="Times New Roman"/>
          <w:sz w:val="28"/>
          <w:szCs w:val="28"/>
        </w:rPr>
        <w:t xml:space="preserve"> </w:t>
      </w:r>
      <w:r>
        <w:rPr>
          <w:rFonts w:hint="eastAsia" w:ascii="Times New Roman" w:hAnsi="Times New Roman" w:eastAsia="方正仿宋_GBK" w:cs="Times New Roman"/>
          <w:sz w:val="28"/>
          <w:szCs w:val="28"/>
        </w:rPr>
        <w:t xml:space="preserve">年 </w:t>
      </w:r>
      <w:r>
        <w:rPr>
          <w:rFonts w:hint="eastAsia" w:ascii="Times New Roman" w:hAnsi="Times New Roman" w:eastAsia="方正仿宋_GBK" w:cs="Times New Roman"/>
          <w:sz w:val="28"/>
          <w:szCs w:val="28"/>
          <w:lang w:val="en-US" w:eastAsia="zh-CN"/>
        </w:rPr>
        <w:t>3</w:t>
      </w:r>
      <w:r>
        <w:rPr>
          <w:rFonts w:ascii="Times New Roman" w:hAnsi="Times New Roman" w:eastAsia="方正仿宋_GBK" w:cs="Times New Roman"/>
          <w:sz w:val="28"/>
          <w:szCs w:val="28"/>
        </w:rPr>
        <w:t xml:space="preserve"> </w:t>
      </w:r>
      <w:r>
        <w:rPr>
          <w:rFonts w:hint="eastAsia" w:ascii="Times New Roman" w:hAnsi="Times New Roman" w:eastAsia="方正仿宋_GBK" w:cs="Times New Roman"/>
          <w:sz w:val="28"/>
          <w:szCs w:val="28"/>
        </w:rPr>
        <w:t xml:space="preserve">月 </w:t>
      </w:r>
      <w:r>
        <w:rPr>
          <w:rFonts w:hint="eastAsia" w:ascii="Times New Roman" w:hAnsi="Times New Roman" w:eastAsia="方正仿宋_GBK" w:cs="Times New Roman"/>
          <w:sz w:val="28"/>
          <w:szCs w:val="28"/>
          <w:lang w:val="en-US" w:eastAsia="zh-CN"/>
        </w:rPr>
        <w:t>13</w:t>
      </w:r>
      <w:r>
        <w:rPr>
          <w:rFonts w:hint="eastAsia" w:ascii="Times New Roman" w:hAnsi="Times New Roman" w:eastAsia="方正仿宋_GBK" w:cs="Times New Roman"/>
          <w:sz w:val="28"/>
          <w:szCs w:val="28"/>
        </w:rPr>
        <w:t>日。</w:t>
      </w:r>
      <w:r>
        <w:rPr>
          <w:rFonts w:hint="eastAsia" w:ascii="Times New Roman" w:hAnsi="Times New Roman" w:eastAsia="方正仿宋_GBK" w:cs="Times New Roman"/>
          <w:sz w:val="32"/>
          <w:szCs w:val="32"/>
        </w:rPr>
        <w:t xml:space="preserve"> </w:t>
      </w:r>
    </w:p>
    <w:p w14:paraId="25D02395">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（二）招标文件发售期限：同招标文件公告期限。</w:t>
      </w:r>
    </w:p>
    <w:p w14:paraId="2F90E0DE">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（三）招标文件发售地点：</w:t>
      </w:r>
    </w:p>
    <w:p w14:paraId="5FDB6EC9">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1.现场发售地址：重庆市巴南区龙洲湾尚文大道906号行政楼2420办公室。</w:t>
      </w:r>
    </w:p>
    <w:p w14:paraId="06508ABE">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2.直接在学校官网下载招标文件。</w:t>
      </w:r>
    </w:p>
    <w:p w14:paraId="3FF06D85">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（四）对招标文件的疑问提出时间（若有）：</w:t>
      </w:r>
      <w:r>
        <w:rPr>
          <w:rFonts w:hint="eastAsia" w:ascii="Times New Roman" w:hAnsi="Times New Roman" w:eastAsia="方正仿宋_GBK" w:cs="Times New Roman"/>
          <w:sz w:val="28"/>
          <w:szCs w:val="28"/>
        </w:rPr>
        <w:t xml:space="preserve"> </w:t>
      </w:r>
      <w:r>
        <w:rPr>
          <w:rFonts w:ascii="Times New Roman" w:hAnsi="Times New Roman" w:eastAsia="方正仿宋_GBK" w:cs="Times New Roman"/>
          <w:sz w:val="28"/>
          <w:szCs w:val="28"/>
        </w:rPr>
        <w:t>202</w:t>
      </w:r>
      <w:r>
        <w:rPr>
          <w:rFonts w:hint="eastAsia" w:ascii="Times New Roman" w:hAnsi="Times New Roman" w:eastAsia="方正仿宋_GBK" w:cs="Times New Roman"/>
          <w:sz w:val="28"/>
          <w:szCs w:val="28"/>
        </w:rPr>
        <w:t xml:space="preserve">6年 </w:t>
      </w:r>
      <w:r>
        <w:rPr>
          <w:rFonts w:hint="eastAsia" w:ascii="Times New Roman" w:hAnsi="Times New Roman" w:eastAsia="方正仿宋_GBK" w:cs="Times New Roman"/>
          <w:sz w:val="28"/>
          <w:szCs w:val="28"/>
          <w:lang w:val="en-US" w:eastAsia="zh-CN"/>
        </w:rPr>
        <w:t>3</w:t>
      </w:r>
      <w:r>
        <w:rPr>
          <w:rFonts w:hint="eastAsia" w:ascii="Times New Roman" w:hAnsi="Times New Roman" w:eastAsia="方正仿宋_GBK" w:cs="Times New Roman"/>
          <w:sz w:val="28"/>
          <w:szCs w:val="28"/>
        </w:rPr>
        <w:t>月</w:t>
      </w:r>
      <w:r>
        <w:rPr>
          <w:rFonts w:hint="eastAsia" w:ascii="Times New Roman" w:hAnsi="Times New Roman" w:eastAsia="方正仿宋_GBK" w:cs="Times New Roman"/>
          <w:sz w:val="28"/>
          <w:szCs w:val="28"/>
          <w:lang w:val="en-US" w:eastAsia="zh-CN"/>
        </w:rPr>
        <w:t>16</w:t>
      </w:r>
      <w:r>
        <w:rPr>
          <w:rFonts w:hint="eastAsia" w:ascii="Times New Roman" w:hAnsi="Times New Roman" w:eastAsia="方正仿宋_GBK" w:cs="Times New Roman"/>
          <w:sz w:val="28"/>
          <w:szCs w:val="28"/>
        </w:rPr>
        <w:t>日以内</w:t>
      </w:r>
      <w:r>
        <w:rPr>
          <w:rFonts w:hint="eastAsia" w:ascii="Times New Roman" w:hAnsi="Times New Roman" w:eastAsia="方正仿宋_GBK" w:cs="Times New Roman"/>
          <w:sz w:val="32"/>
          <w:szCs w:val="32"/>
        </w:rPr>
        <w:t>。</w:t>
      </w:r>
    </w:p>
    <w:p w14:paraId="6BF1A088">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（五）投标截止时间、投标地点、开标时间：</w:t>
      </w:r>
      <w:r>
        <w:rPr>
          <w:rFonts w:ascii="Times New Roman" w:hAnsi="Times New Roman" w:eastAsia="方正仿宋_GBK" w:cs="Times New Roman"/>
          <w:sz w:val="32"/>
          <w:szCs w:val="32"/>
        </w:rPr>
        <w:t>在重庆财经学院</w:t>
      </w:r>
      <w:r>
        <w:rPr>
          <w:rFonts w:hint="eastAsia" w:ascii="Times New Roman" w:hAnsi="Times New Roman" w:eastAsia="方正仿宋_GBK" w:cs="Times New Roman"/>
          <w:sz w:val="32"/>
          <w:szCs w:val="32"/>
        </w:rPr>
        <w:t>官</w:t>
      </w:r>
      <w:r>
        <w:rPr>
          <w:rFonts w:ascii="Times New Roman" w:hAnsi="Times New Roman" w:eastAsia="方正仿宋_GBK" w:cs="Times New Roman"/>
          <w:sz w:val="32"/>
          <w:szCs w:val="32"/>
        </w:rPr>
        <w:t>网上发布</w:t>
      </w:r>
      <w:r>
        <w:rPr>
          <w:rFonts w:hint="eastAsia" w:ascii="Times New Roman" w:hAnsi="Times New Roman" w:eastAsia="方正仿宋_GBK" w:cs="Times New Roman"/>
          <w:sz w:val="32"/>
          <w:szCs w:val="32"/>
        </w:rPr>
        <w:t>投标截止时间公告</w:t>
      </w:r>
      <w:r>
        <w:rPr>
          <w:rFonts w:ascii="Times New Roman" w:hAnsi="Times New Roman" w:eastAsia="方正仿宋_GBK" w:cs="Times New Roman"/>
          <w:sz w:val="32"/>
          <w:szCs w:val="32"/>
        </w:rPr>
        <w:t>。</w:t>
      </w:r>
    </w:p>
    <w:p w14:paraId="11BD25D9">
      <w:pPr>
        <w:spacing w:line="380" w:lineRule="exact"/>
        <w:ind w:firstLine="640" w:firstLineChars="200"/>
        <w:rPr>
          <w:rFonts w:hint="eastAsia" w:ascii="方正楷体_GBK" w:hAnsi="方正楷体_GBK" w:eastAsia="方正楷体_GBK" w:cs="方正楷体_GBK"/>
          <w:b/>
          <w:bCs/>
          <w:sz w:val="32"/>
          <w:szCs w:val="32"/>
        </w:rPr>
      </w:pPr>
    </w:p>
    <w:p w14:paraId="0A40E082">
      <w:pPr>
        <w:spacing w:line="380" w:lineRule="exact"/>
        <w:ind w:firstLine="640" w:firstLineChars="200"/>
        <w:rPr>
          <w:rFonts w:hint="eastAsia" w:ascii="方正楷体_GBK" w:hAnsi="方正楷体_GBK" w:eastAsia="方正楷体_GBK" w:cs="方正楷体_GBK"/>
          <w:b/>
          <w:bCs/>
          <w:sz w:val="32"/>
          <w:szCs w:val="32"/>
        </w:rPr>
      </w:pPr>
      <w:r>
        <w:rPr>
          <w:rFonts w:ascii="方正楷体_GBK" w:hAnsi="方正楷体_GBK" w:eastAsia="方正楷体_GBK" w:cs="方正楷体_GBK"/>
          <w:b/>
          <w:bCs/>
          <w:sz w:val="32"/>
          <w:szCs w:val="32"/>
        </w:rPr>
        <w:t>五、招标文件购买费、投标保证金</w:t>
      </w:r>
      <w:r>
        <w:rPr>
          <w:rFonts w:hint="eastAsia" w:ascii="方正楷体_GBK" w:hAnsi="方正楷体_GBK" w:eastAsia="方正楷体_GBK" w:cs="方正楷体_GBK"/>
          <w:b/>
          <w:bCs/>
          <w:sz w:val="32"/>
          <w:szCs w:val="32"/>
        </w:rPr>
        <w:t>、中标服务费</w:t>
      </w:r>
    </w:p>
    <w:p w14:paraId="2E04711C">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（一）</w:t>
      </w:r>
      <w:r>
        <w:rPr>
          <w:rFonts w:ascii="Times New Roman" w:hAnsi="Times New Roman" w:eastAsia="方正仿宋_GBK" w:cs="Times New Roman"/>
          <w:sz w:val="32"/>
          <w:szCs w:val="32"/>
        </w:rPr>
        <w:t>招标文件</w:t>
      </w:r>
      <w:r>
        <w:rPr>
          <w:rFonts w:hint="eastAsia" w:ascii="Times New Roman" w:hAnsi="Times New Roman" w:eastAsia="方正仿宋_GBK" w:cs="Times New Roman"/>
          <w:sz w:val="32"/>
          <w:szCs w:val="32"/>
        </w:rPr>
        <w:t>购买费：人民币200元/份；</w:t>
      </w:r>
    </w:p>
    <w:p w14:paraId="725C5854">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报名费收费账户：1001010120010030105，重庆财经学院，农村商业银行重庆巴南支行。</w:t>
      </w:r>
    </w:p>
    <w:p w14:paraId="537B460E">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1.汇款的投标方须在付款凭证摘要/用途中填写</w:t>
      </w:r>
      <w:r>
        <w:rPr>
          <w:rFonts w:hint="eastAsia" w:ascii="Times New Roman" w:hAnsi="Times New Roman" w:eastAsia="方正仿宋_GBK" w:cs="Times New Roman"/>
          <w:sz w:val="32"/>
          <w:szCs w:val="32"/>
          <w:u w:val="single"/>
        </w:rPr>
        <w:t>“重庆财经学院人力资源管理与服务平台采购项目招标文件购买费”</w:t>
      </w:r>
      <w:r>
        <w:rPr>
          <w:rFonts w:hint="eastAsia" w:ascii="Times New Roman" w:hAnsi="Times New Roman" w:eastAsia="方正仿宋_GBK" w:cs="Times New Roman"/>
          <w:sz w:val="32"/>
          <w:szCs w:val="32"/>
        </w:rPr>
        <w:t>，并在投标文件最后附纸质的转账凭证复印件，并把缴费记录截图发送至1308772756@</w:t>
      </w:r>
      <w:r>
        <w:rPr>
          <w:rFonts w:ascii="Times New Roman" w:hAnsi="Times New Roman" w:eastAsia="方正仿宋_GBK" w:cs="Times New Roman"/>
          <w:sz w:val="32"/>
          <w:szCs w:val="32"/>
        </w:rPr>
        <w:t>qq</w:t>
      </w:r>
      <w:r>
        <w:rPr>
          <w:rFonts w:hint="eastAsia" w:ascii="Times New Roman" w:hAnsi="Times New Roman" w:eastAsia="方正仿宋_GBK" w:cs="Times New Roman"/>
          <w:sz w:val="32"/>
          <w:szCs w:val="32"/>
        </w:rPr>
        <w:t>.com邮箱中。</w:t>
      </w:r>
    </w:p>
    <w:p w14:paraId="658867E6">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2.汇款截止时间：同招标文件公告截止日期。</w:t>
      </w:r>
    </w:p>
    <w:p w14:paraId="4F1459A5">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供应商在银行转账（电汇）时，须充分考虑银行转账（电汇）的时间差风险，如同城转账、异地转账或汇款、跨行转账或电汇的时间要求。</w:t>
      </w:r>
    </w:p>
    <w:p w14:paraId="137A5873">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3.汇款方请在投标截止时间公告日，及时将汇款凭证发给我方，为其开具收款凭证。</w:t>
      </w:r>
    </w:p>
    <w:p w14:paraId="23200A82">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（二）投标保证金</w:t>
      </w:r>
    </w:p>
    <w:p w14:paraId="78C9D232">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投标人应以现金的形式提供人民币</w:t>
      </w:r>
      <w:r>
        <w:rPr>
          <w:rFonts w:ascii="Times New Roman" w:hAnsi="Times New Roman" w:eastAsia="方正仿宋_GBK" w:cs="Times New Roman"/>
          <w:sz w:val="28"/>
          <w:szCs w:val="28"/>
          <w:u w:val="single"/>
        </w:rPr>
        <w:t>7000</w:t>
      </w:r>
      <w:r>
        <w:rPr>
          <w:rFonts w:hint="eastAsia" w:ascii="Times New Roman" w:hAnsi="Times New Roman" w:eastAsia="方正仿宋_GBK" w:cs="Times New Roman"/>
          <w:sz w:val="28"/>
          <w:szCs w:val="28"/>
          <w:u w:val="single"/>
        </w:rPr>
        <w:t>元</w:t>
      </w:r>
      <w:r>
        <w:rPr>
          <w:rFonts w:hint="eastAsia" w:ascii="Times New Roman" w:hAnsi="Times New Roman" w:eastAsia="方正仿宋_GBK" w:cs="Times New Roman"/>
          <w:sz w:val="28"/>
          <w:szCs w:val="28"/>
        </w:rPr>
        <w:t>（大写柒仟元整</w:t>
      </w:r>
      <w:r>
        <w:rPr>
          <w:rFonts w:hint="eastAsia" w:ascii="Times New Roman" w:hAnsi="Times New Roman" w:eastAsia="方正仿宋_GBK" w:cs="Times New Roman"/>
          <w:sz w:val="32"/>
          <w:szCs w:val="32"/>
        </w:rPr>
        <w:t>）的投标保证金。</w:t>
      </w:r>
    </w:p>
    <w:p w14:paraId="6E26037F">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非中标人的投标人保证金，现场退还；中标人与采购人签订合同后，投标保证金自动转为履约保证金，多退少补。</w:t>
      </w:r>
    </w:p>
    <w:p w14:paraId="6B6959B8">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（三）中标服务费</w:t>
      </w:r>
    </w:p>
    <w:p w14:paraId="6049F58A">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本项目将收取中标服务费，计算基数是中标通知书中载明的中标金额，按下表以差额定率累进法计算，并在此基础上八折收取。</w:t>
      </w:r>
    </w:p>
    <w:tbl>
      <w:tblPr>
        <w:tblStyle w:val="43"/>
        <w:tblpPr w:leftFromText="180" w:rightFromText="180" w:vertAnchor="text" w:horzAnchor="page" w:tblpX="1906" w:tblpY="27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59"/>
        <w:gridCol w:w="4211"/>
      </w:tblGrid>
      <w:tr w14:paraId="7C00F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9" w:type="dxa"/>
          </w:tcPr>
          <w:p w14:paraId="6357D284">
            <w:pPr>
              <w:pStyle w:val="41"/>
              <w:spacing w:line="380" w:lineRule="exact"/>
              <w:ind w:firstLine="0" w:firstLineChars="0"/>
              <w:jc w:val="center"/>
              <w:rPr>
                <w:szCs w:val="24"/>
              </w:rPr>
            </w:pPr>
            <w:r>
              <w:rPr>
                <w:rFonts w:hint="eastAsia"/>
                <w:szCs w:val="24"/>
              </w:rPr>
              <w:t>中标金额（万元）</w:t>
            </w:r>
          </w:p>
        </w:tc>
        <w:tc>
          <w:tcPr>
            <w:tcW w:w="4211" w:type="dxa"/>
          </w:tcPr>
          <w:p w14:paraId="04B9B86C">
            <w:pPr>
              <w:pStyle w:val="41"/>
              <w:spacing w:line="380" w:lineRule="exact"/>
              <w:ind w:firstLine="0" w:firstLineChars="0"/>
              <w:jc w:val="center"/>
              <w:rPr>
                <w:szCs w:val="24"/>
              </w:rPr>
            </w:pPr>
            <w:r>
              <w:rPr>
                <w:rFonts w:hint="eastAsia"/>
                <w:szCs w:val="24"/>
              </w:rPr>
              <w:t>费率（%）</w:t>
            </w:r>
          </w:p>
        </w:tc>
      </w:tr>
      <w:tr w14:paraId="14342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9" w:type="dxa"/>
          </w:tcPr>
          <w:p w14:paraId="7EAE3259">
            <w:pPr>
              <w:pStyle w:val="41"/>
              <w:spacing w:line="380" w:lineRule="exact"/>
              <w:ind w:firstLine="0" w:firstLineChars="0"/>
              <w:jc w:val="center"/>
              <w:rPr>
                <w:szCs w:val="24"/>
              </w:rPr>
            </w:pPr>
            <w:r>
              <w:rPr>
                <w:rFonts w:hint="eastAsia"/>
                <w:szCs w:val="24"/>
              </w:rPr>
              <w:t>100以下</w:t>
            </w:r>
          </w:p>
        </w:tc>
        <w:tc>
          <w:tcPr>
            <w:tcW w:w="4211" w:type="dxa"/>
          </w:tcPr>
          <w:p w14:paraId="69DABDE8">
            <w:pPr>
              <w:pStyle w:val="41"/>
              <w:spacing w:line="380" w:lineRule="exact"/>
              <w:ind w:firstLine="0" w:firstLineChars="0"/>
              <w:jc w:val="center"/>
              <w:rPr>
                <w:szCs w:val="24"/>
              </w:rPr>
            </w:pPr>
            <w:r>
              <w:rPr>
                <w:rFonts w:hint="eastAsia"/>
                <w:szCs w:val="24"/>
              </w:rPr>
              <w:t>1.5</w:t>
            </w:r>
          </w:p>
        </w:tc>
      </w:tr>
      <w:tr w14:paraId="63EAD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9" w:type="dxa"/>
          </w:tcPr>
          <w:p w14:paraId="141166D9">
            <w:pPr>
              <w:pStyle w:val="41"/>
              <w:spacing w:line="380" w:lineRule="exact"/>
              <w:ind w:firstLine="0" w:firstLineChars="0"/>
              <w:jc w:val="center"/>
              <w:rPr>
                <w:szCs w:val="24"/>
              </w:rPr>
            </w:pPr>
            <w:r>
              <w:rPr>
                <w:rFonts w:hint="eastAsia"/>
                <w:szCs w:val="24"/>
              </w:rPr>
              <w:t>100-500</w:t>
            </w:r>
          </w:p>
        </w:tc>
        <w:tc>
          <w:tcPr>
            <w:tcW w:w="4211" w:type="dxa"/>
          </w:tcPr>
          <w:p w14:paraId="568DD148">
            <w:pPr>
              <w:pStyle w:val="41"/>
              <w:spacing w:line="380" w:lineRule="exact"/>
              <w:ind w:firstLine="0" w:firstLineChars="0"/>
              <w:jc w:val="center"/>
              <w:rPr>
                <w:szCs w:val="24"/>
              </w:rPr>
            </w:pPr>
            <w:r>
              <w:rPr>
                <w:rFonts w:hint="eastAsia"/>
                <w:szCs w:val="24"/>
              </w:rPr>
              <w:t>1.1</w:t>
            </w:r>
          </w:p>
        </w:tc>
      </w:tr>
    </w:tbl>
    <w:p w14:paraId="231D819B">
      <w:pPr>
        <w:spacing w:line="380" w:lineRule="exact"/>
        <w:ind w:firstLine="640" w:firstLineChars="200"/>
        <w:rPr>
          <w:rFonts w:ascii="Times New Roman" w:hAnsi="Times New Roman" w:eastAsia="方正仿宋_GBK" w:cs="Times New Roman"/>
          <w:b/>
          <w:bCs/>
          <w:sz w:val="32"/>
          <w:szCs w:val="32"/>
        </w:rPr>
      </w:pPr>
    </w:p>
    <w:p w14:paraId="51B96682">
      <w:pPr>
        <w:spacing w:line="380" w:lineRule="exact"/>
        <w:ind w:firstLine="640" w:firstLineChars="200"/>
        <w:rPr>
          <w:rFonts w:ascii="Times New Roman" w:hAnsi="Times New Roman" w:eastAsia="方正仿宋_GBK" w:cs="Times New Roman"/>
          <w:b/>
          <w:bCs/>
          <w:sz w:val="32"/>
          <w:szCs w:val="32"/>
        </w:rPr>
      </w:pPr>
      <w:r>
        <w:rPr>
          <w:rFonts w:hint="eastAsia" w:ascii="Times New Roman" w:hAnsi="Times New Roman" w:eastAsia="方正仿宋_GBK" w:cs="Times New Roman"/>
          <w:b/>
          <w:bCs/>
          <w:sz w:val="32"/>
          <w:szCs w:val="32"/>
        </w:rPr>
        <w:t>六</w:t>
      </w:r>
      <w:r>
        <w:rPr>
          <w:rFonts w:ascii="Times New Roman" w:hAnsi="Times New Roman" w:eastAsia="方正仿宋_GBK" w:cs="Times New Roman"/>
          <w:b/>
          <w:bCs/>
          <w:sz w:val="32"/>
          <w:szCs w:val="32"/>
        </w:rPr>
        <w:t xml:space="preserve">、投标有关规定 </w:t>
      </w:r>
    </w:p>
    <w:p w14:paraId="1503C869">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 xml:space="preserve">（一）单位负责人为同一人或者存在直接控股、管理关系的不同投标人，不得参加同一合同项（包）下的采购活动。 </w:t>
      </w:r>
    </w:p>
    <w:p w14:paraId="1D8E4411">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 xml:space="preserve">（二）本项目招标文件公告、截标时间公告、澄清文件（若有）等一律在“重庆财经学院官网（http://www.cfec.edu.cn）上发布；无论投标人下载或领取与否，均视同投标人已知晓本项目的所有内容。 </w:t>
      </w:r>
    </w:p>
    <w:p w14:paraId="47724937">
      <w:pPr>
        <w:spacing w:line="380" w:lineRule="exact"/>
        <w:ind w:firstLine="640" w:firstLineChars="200"/>
        <w:rPr>
          <w:rFonts w:ascii="Times New Roman" w:hAnsi="Times New Roman" w:eastAsia="方正仿宋_GBK" w:cs="Times New Roman"/>
          <w:b/>
          <w:bCs/>
          <w:sz w:val="32"/>
          <w:szCs w:val="32"/>
        </w:rPr>
      </w:pPr>
      <w:r>
        <w:rPr>
          <w:rFonts w:hint="eastAsia" w:ascii="Times New Roman" w:hAnsi="Times New Roman" w:eastAsia="方正仿宋_GBK" w:cs="Times New Roman"/>
          <w:sz w:val="32"/>
          <w:szCs w:val="32"/>
        </w:rPr>
        <w:t xml:space="preserve">（三）超过投标截止时间递交的投标文件，恕不接收。 </w:t>
      </w:r>
      <w:r>
        <w:rPr>
          <w:rFonts w:ascii="Times New Roman" w:hAnsi="Times New Roman" w:eastAsia="方正仿宋_GBK" w:cs="Times New Roman"/>
          <w:b/>
          <w:bCs/>
          <w:sz w:val="32"/>
          <w:szCs w:val="32"/>
        </w:rPr>
        <w:t>本次招标不接受邮寄的投标文件。</w:t>
      </w:r>
    </w:p>
    <w:p w14:paraId="0FE56AA4">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（四）投标费用：无论投标结果如何，投标人参与本项目投标的所有费用均应由投标人自行承担。投标资格不得转让 。</w:t>
      </w:r>
    </w:p>
    <w:p w14:paraId="13B82C56">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 xml:space="preserve">（五）本项目不接受联合体参与投标。 </w:t>
      </w:r>
    </w:p>
    <w:p w14:paraId="59050A8A">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（六）按照《财政部关于在政府采购活动中查询及使用信用记录有关问题的通知》财库〔</w:t>
      </w:r>
      <w:r>
        <w:rPr>
          <w:rFonts w:ascii="Times New Roman" w:hAnsi="Times New Roman" w:eastAsia="方正仿宋_GBK" w:cs="Times New Roman"/>
          <w:sz w:val="32"/>
          <w:szCs w:val="32"/>
        </w:rPr>
        <w:t>2016</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 xml:space="preserve">125 </w:t>
      </w:r>
      <w:r>
        <w:rPr>
          <w:rFonts w:hint="eastAsia" w:ascii="Times New Roman" w:hAnsi="Times New Roman" w:eastAsia="方正仿宋_GBK" w:cs="Times New Roman"/>
          <w:sz w:val="32"/>
          <w:szCs w:val="32"/>
        </w:rPr>
        <w:t>号，投标人列入失信被执行人、重大税收违法案件当事人名单、政府采购 严重违法失信行为记录名单及其他不符合《中华人民共和国政府采购法》第二十二条规定条件的投标人，将拒绝其参与本次采购活动。</w:t>
      </w:r>
    </w:p>
    <w:p w14:paraId="220BD1C0">
      <w:pPr>
        <w:spacing w:line="380" w:lineRule="exact"/>
        <w:ind w:firstLine="640" w:firstLineChars="200"/>
        <w:rPr>
          <w:rFonts w:ascii="Times New Roman" w:hAnsi="Times New Roman" w:eastAsia="方正仿宋_GBK" w:cs="Times New Roman"/>
          <w:b/>
          <w:bCs/>
          <w:sz w:val="32"/>
          <w:szCs w:val="32"/>
        </w:rPr>
      </w:pPr>
      <w:r>
        <w:rPr>
          <w:rFonts w:hint="eastAsia" w:ascii="Times New Roman" w:hAnsi="Times New Roman" w:eastAsia="方正仿宋_GBK" w:cs="Times New Roman"/>
          <w:b/>
          <w:bCs/>
          <w:sz w:val="32"/>
          <w:szCs w:val="32"/>
        </w:rPr>
        <w:t>七、开标相关要求</w:t>
      </w:r>
    </w:p>
    <w:p w14:paraId="2EF99C8C">
      <w:pPr>
        <w:spacing w:line="380" w:lineRule="exact"/>
        <w:ind w:left="220" w:firstLine="420"/>
        <w:rPr>
          <w:rFonts w:ascii="Times New Roman" w:hAnsi="Times New Roman" w:eastAsia="方正仿宋_GBK" w:cs="Times New Roman"/>
          <w:b/>
          <w:bCs/>
          <w:sz w:val="32"/>
          <w:szCs w:val="32"/>
        </w:rPr>
      </w:pPr>
      <w:r>
        <w:rPr>
          <w:rFonts w:hint="eastAsia" w:ascii="Times New Roman" w:hAnsi="Times New Roman" w:eastAsia="方正仿宋_GBK" w:cs="Times New Roman"/>
          <w:sz w:val="32"/>
          <w:szCs w:val="32"/>
        </w:rPr>
        <w:t>投标单位要在现场进行10分钟的系统演示，请自备电脑。</w:t>
      </w:r>
    </w:p>
    <w:p w14:paraId="2B3190C4">
      <w:pPr>
        <w:spacing w:line="380" w:lineRule="exact"/>
        <w:ind w:firstLine="640" w:firstLineChars="200"/>
        <w:rPr>
          <w:rFonts w:ascii="Times New Roman" w:hAnsi="Times New Roman" w:eastAsia="方正仿宋_GBK" w:cs="Times New Roman"/>
          <w:b/>
          <w:bCs/>
          <w:sz w:val="32"/>
          <w:szCs w:val="32"/>
        </w:rPr>
      </w:pPr>
      <w:r>
        <w:rPr>
          <w:rFonts w:hint="eastAsia" w:ascii="Times New Roman" w:hAnsi="Times New Roman" w:eastAsia="方正仿宋_GBK" w:cs="Times New Roman"/>
          <w:b/>
          <w:bCs/>
          <w:sz w:val="32"/>
          <w:szCs w:val="32"/>
        </w:rPr>
        <w:t>八、联系方式（收件地址）</w:t>
      </w:r>
    </w:p>
    <w:p w14:paraId="5BB9B13F">
      <w:pPr>
        <w:spacing w:line="38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联系人：</w:t>
      </w:r>
      <w:r>
        <w:rPr>
          <w:rFonts w:hint="eastAsia" w:ascii="Times New Roman" w:hAnsi="Times New Roman" w:eastAsia="方正仿宋_GBK" w:cs="Times New Roman"/>
          <w:sz w:val="32"/>
          <w:szCs w:val="32"/>
        </w:rPr>
        <w:t>朱</w:t>
      </w:r>
      <w:r>
        <w:rPr>
          <w:rFonts w:ascii="Times New Roman" w:hAnsi="Times New Roman" w:eastAsia="方正仿宋_GBK" w:cs="Times New Roman"/>
          <w:sz w:val="32"/>
          <w:szCs w:val="32"/>
        </w:rPr>
        <w:t xml:space="preserve">老师   </w:t>
      </w:r>
    </w:p>
    <w:p w14:paraId="3C304F78">
      <w:pPr>
        <w:spacing w:line="38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联系电话：</w:t>
      </w:r>
      <w:r>
        <w:rPr>
          <w:rFonts w:hint="eastAsia" w:ascii="Times New Roman" w:hAnsi="Times New Roman" w:eastAsia="方正仿宋_GBK" w:cs="Times New Roman"/>
          <w:sz w:val="32"/>
          <w:szCs w:val="32"/>
        </w:rPr>
        <w:t>023-</w:t>
      </w:r>
      <w:r>
        <w:rPr>
          <w:rFonts w:ascii="Times New Roman" w:hAnsi="Times New Roman" w:eastAsia="方正仿宋_GBK" w:cs="Times New Roman"/>
          <w:sz w:val="32"/>
          <w:szCs w:val="32"/>
        </w:rPr>
        <w:t>88968</w:t>
      </w:r>
      <w:r>
        <w:rPr>
          <w:rFonts w:hint="eastAsia" w:ascii="Times New Roman" w:hAnsi="Times New Roman" w:eastAsia="方正仿宋_GBK" w:cs="Times New Roman"/>
          <w:sz w:val="32"/>
          <w:szCs w:val="32"/>
        </w:rPr>
        <w:t>736/ 13272608984</w:t>
      </w:r>
    </w:p>
    <w:p w14:paraId="163877DB">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技术咨询：董老师，电话：</w:t>
      </w:r>
      <w:r>
        <w:rPr>
          <w:rFonts w:ascii="Times New Roman" w:hAnsi="Times New Roman" w:eastAsia="方正仿宋_GBK" w:cs="Times New Roman"/>
          <w:sz w:val="32"/>
          <w:szCs w:val="32"/>
        </w:rPr>
        <w:t>13036302631</w:t>
      </w:r>
    </w:p>
    <w:p w14:paraId="4F38C3BD">
      <w:pPr>
        <w:spacing w:line="38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招标人：重庆财经学院</w:t>
      </w:r>
    </w:p>
    <w:p w14:paraId="1135BD0C">
      <w:pPr>
        <w:spacing w:line="38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地址：重庆市巴南区龙洲湾尚文大道906号</w:t>
      </w:r>
      <w:r>
        <w:rPr>
          <w:rFonts w:hint="eastAsia" w:ascii="Times New Roman" w:hAnsi="Times New Roman" w:eastAsia="方正仿宋_GBK" w:cs="Times New Roman"/>
          <w:sz w:val="32"/>
          <w:szCs w:val="32"/>
        </w:rPr>
        <w:t>行政楼2420后勤处。</w:t>
      </w:r>
    </w:p>
    <w:p w14:paraId="544A1970">
      <w:pPr>
        <w:spacing w:line="380" w:lineRule="exact"/>
        <w:jc w:val="right"/>
        <w:rPr>
          <w:rFonts w:ascii="Times New Roman" w:hAnsi="Times New Roman" w:eastAsia="方正仿宋_GBK" w:cs="Times New Roman"/>
          <w:sz w:val="32"/>
          <w:szCs w:val="32"/>
        </w:rPr>
      </w:pPr>
    </w:p>
    <w:p w14:paraId="0B5421F8">
      <w:pPr>
        <w:spacing w:line="380" w:lineRule="exact"/>
        <w:jc w:val="right"/>
        <w:rPr>
          <w:rFonts w:ascii="Times New Roman" w:hAnsi="Times New Roman" w:eastAsia="方正仿宋_GBK" w:cs="Times New Roman"/>
          <w:sz w:val="32"/>
          <w:szCs w:val="32"/>
        </w:rPr>
      </w:pPr>
    </w:p>
    <w:p w14:paraId="783354EA">
      <w:pPr>
        <w:spacing w:line="400" w:lineRule="exact"/>
        <w:rPr>
          <w:rFonts w:ascii="Times New Roman" w:hAnsi="Times New Roman" w:eastAsia="方正仿宋_GBK" w:cs="Times New Roman"/>
          <w:sz w:val="32"/>
          <w:szCs w:val="32"/>
        </w:rPr>
      </w:pPr>
      <w:r>
        <w:rPr>
          <w:rFonts w:ascii="Times New Roman" w:hAnsi="Times New Roman" w:eastAsia="方正仿宋_GBK" w:cs="Times New Roman"/>
          <w:sz w:val="32"/>
          <w:szCs w:val="32"/>
        </w:rPr>
        <w:br w:type="page"/>
      </w:r>
    </w:p>
    <w:p w14:paraId="644D809A">
      <w:pPr>
        <w:pStyle w:val="2"/>
        <w:numPr>
          <w:ilvl w:val="0"/>
          <w:numId w:val="0"/>
        </w:numPr>
        <w:spacing w:before="0" w:after="0" w:line="520" w:lineRule="exact"/>
        <w:ind w:left="432"/>
        <w:jc w:val="center"/>
        <w:rPr>
          <w:rFonts w:ascii="Times New Roman" w:hAnsi="Times New Roman" w:eastAsia="方正小标宋_GBK" w:cs="Times New Roman"/>
        </w:rPr>
      </w:pPr>
      <w:bookmarkStart w:id="0" w:name="_Toc531594734"/>
      <w:bookmarkStart w:id="1" w:name="_Toc484637073"/>
      <w:bookmarkStart w:id="2" w:name="_Toc287607744"/>
      <w:bookmarkStart w:id="3" w:name="_Toc30163"/>
      <w:bookmarkStart w:id="4" w:name="_Toc224103315"/>
      <w:bookmarkStart w:id="5" w:name="_Toc481694468"/>
      <w:r>
        <w:rPr>
          <w:rFonts w:ascii="Times New Roman" w:hAnsi="Times New Roman" w:eastAsia="方正小标宋_GBK" w:cs="Times New Roman"/>
        </w:rPr>
        <w:t>第二章 投标人需知</w:t>
      </w:r>
      <w:bookmarkEnd w:id="0"/>
      <w:bookmarkEnd w:id="1"/>
      <w:bookmarkEnd w:id="2"/>
      <w:bookmarkEnd w:id="3"/>
      <w:bookmarkEnd w:id="4"/>
      <w:bookmarkEnd w:id="5"/>
    </w:p>
    <w:p w14:paraId="0C4B8DDB">
      <w:pPr>
        <w:rPr>
          <w:rFonts w:ascii="Times New Roman" w:hAnsi="Times New Roman" w:cs="Times New Roman"/>
        </w:rPr>
      </w:pPr>
    </w:p>
    <w:p w14:paraId="498DD257">
      <w:pPr>
        <w:jc w:val="center"/>
        <w:rPr>
          <w:rFonts w:ascii="Times New Roman" w:hAnsi="Times New Roman" w:eastAsia="方正仿宋_GBK" w:cs="Times New Roman"/>
          <w:sz w:val="32"/>
          <w:szCs w:val="32"/>
        </w:rPr>
      </w:pPr>
      <w:r>
        <w:rPr>
          <w:rFonts w:ascii="Times New Roman" w:hAnsi="Times New Roman" w:eastAsia="方正仿宋_GBK" w:cs="Times New Roman"/>
          <w:sz w:val="32"/>
          <w:szCs w:val="32"/>
        </w:rPr>
        <w:t>（投标人需知前附表）</w:t>
      </w:r>
    </w:p>
    <w:tbl>
      <w:tblPr>
        <w:tblStyle w:val="42"/>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
        <w:gridCol w:w="1515"/>
        <w:gridCol w:w="6092"/>
      </w:tblGrid>
      <w:tr w14:paraId="56661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0CB2DE4">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条款号</w:t>
            </w:r>
          </w:p>
        </w:tc>
        <w:tc>
          <w:tcPr>
            <w:tcW w:w="1515" w:type="dxa"/>
            <w:tcBorders>
              <w:top w:val="single" w:color="auto" w:sz="4" w:space="0"/>
              <w:left w:val="single" w:color="auto" w:sz="4" w:space="0"/>
              <w:bottom w:val="single" w:color="auto" w:sz="4" w:space="0"/>
              <w:right w:val="single" w:color="auto" w:sz="4" w:space="0"/>
            </w:tcBorders>
            <w:vAlign w:val="center"/>
          </w:tcPr>
          <w:p w14:paraId="6DAC7F4F">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条款名称</w:t>
            </w:r>
          </w:p>
        </w:tc>
        <w:tc>
          <w:tcPr>
            <w:tcW w:w="6092" w:type="dxa"/>
            <w:tcBorders>
              <w:top w:val="single" w:color="auto" w:sz="4" w:space="0"/>
              <w:left w:val="single" w:color="auto" w:sz="4" w:space="0"/>
              <w:bottom w:val="single" w:color="auto" w:sz="4" w:space="0"/>
              <w:right w:val="single" w:color="auto" w:sz="4" w:space="0"/>
            </w:tcBorders>
            <w:vAlign w:val="center"/>
          </w:tcPr>
          <w:p w14:paraId="0D9CE0BB">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编  列  内  容</w:t>
            </w:r>
          </w:p>
        </w:tc>
      </w:tr>
      <w:tr w14:paraId="419FF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65" w:type="dxa"/>
            <w:tcBorders>
              <w:top w:val="single" w:color="auto" w:sz="4" w:space="0"/>
              <w:left w:val="single" w:color="auto" w:sz="4" w:space="0"/>
              <w:bottom w:val="single" w:color="auto" w:sz="4" w:space="0"/>
              <w:right w:val="single" w:color="auto" w:sz="4" w:space="0"/>
            </w:tcBorders>
            <w:vAlign w:val="center"/>
          </w:tcPr>
          <w:p w14:paraId="248532DB">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1.1.1</w:t>
            </w:r>
          </w:p>
        </w:tc>
        <w:tc>
          <w:tcPr>
            <w:tcW w:w="1515" w:type="dxa"/>
            <w:tcBorders>
              <w:top w:val="single" w:color="auto" w:sz="4" w:space="0"/>
              <w:left w:val="single" w:color="auto" w:sz="4" w:space="0"/>
              <w:bottom w:val="single" w:color="auto" w:sz="4" w:space="0"/>
              <w:right w:val="single" w:color="auto" w:sz="4" w:space="0"/>
            </w:tcBorders>
            <w:vAlign w:val="center"/>
          </w:tcPr>
          <w:p w14:paraId="24FCBAE0">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项目名称</w:t>
            </w:r>
          </w:p>
        </w:tc>
        <w:tc>
          <w:tcPr>
            <w:tcW w:w="6092" w:type="dxa"/>
            <w:tcBorders>
              <w:top w:val="single" w:color="auto" w:sz="4" w:space="0"/>
              <w:left w:val="single" w:color="auto" w:sz="4" w:space="0"/>
              <w:bottom w:val="single" w:color="auto" w:sz="4" w:space="0"/>
              <w:right w:val="single" w:color="auto" w:sz="4" w:space="0"/>
            </w:tcBorders>
            <w:vAlign w:val="center"/>
          </w:tcPr>
          <w:p w14:paraId="0E99E983">
            <w:pPr>
              <w:spacing w:line="400" w:lineRule="exact"/>
              <w:jc w:val="lef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重庆财经学院人力资源管理与服务平台采购项目</w:t>
            </w:r>
          </w:p>
        </w:tc>
      </w:tr>
      <w:tr w14:paraId="34385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31602ED0">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1.1.2</w:t>
            </w:r>
          </w:p>
        </w:tc>
        <w:tc>
          <w:tcPr>
            <w:tcW w:w="1515" w:type="dxa"/>
            <w:tcBorders>
              <w:top w:val="single" w:color="auto" w:sz="4" w:space="0"/>
              <w:left w:val="single" w:color="auto" w:sz="4" w:space="0"/>
              <w:bottom w:val="single" w:color="auto" w:sz="4" w:space="0"/>
              <w:right w:val="single" w:color="auto" w:sz="4" w:space="0"/>
            </w:tcBorders>
            <w:vAlign w:val="center"/>
          </w:tcPr>
          <w:p w14:paraId="51F0C059">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招标人</w:t>
            </w:r>
          </w:p>
        </w:tc>
        <w:tc>
          <w:tcPr>
            <w:tcW w:w="6092" w:type="dxa"/>
            <w:tcBorders>
              <w:top w:val="single" w:color="auto" w:sz="4" w:space="0"/>
              <w:left w:val="single" w:color="auto" w:sz="4" w:space="0"/>
              <w:bottom w:val="single" w:color="auto" w:sz="4" w:space="0"/>
              <w:right w:val="single" w:color="auto" w:sz="4" w:space="0"/>
            </w:tcBorders>
            <w:vAlign w:val="center"/>
          </w:tcPr>
          <w:p w14:paraId="4DF537B5">
            <w:pPr>
              <w:spacing w:line="38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单位名称：重庆财经学院</w:t>
            </w:r>
          </w:p>
          <w:p w14:paraId="755870DA">
            <w:pPr>
              <w:spacing w:line="38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地   址：重庆市巴南区龙洲湾尚文大道906号</w:t>
            </w:r>
          </w:p>
          <w:p w14:paraId="1E05E2DA">
            <w:pPr>
              <w:spacing w:line="38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联系人：</w:t>
            </w:r>
            <w:r>
              <w:rPr>
                <w:rFonts w:hint="eastAsia" w:ascii="Times New Roman" w:hAnsi="Times New Roman" w:eastAsia="方正仿宋_GBK" w:cs="Times New Roman"/>
                <w:sz w:val="28"/>
                <w:szCs w:val="28"/>
              </w:rPr>
              <w:t>朱</w:t>
            </w:r>
            <w:r>
              <w:rPr>
                <w:rFonts w:ascii="Times New Roman" w:hAnsi="Times New Roman" w:eastAsia="方正仿宋_GBK" w:cs="Times New Roman"/>
                <w:sz w:val="28"/>
                <w:szCs w:val="28"/>
              </w:rPr>
              <w:t xml:space="preserve">老师  </w:t>
            </w:r>
          </w:p>
          <w:p w14:paraId="0B6936A4">
            <w:pPr>
              <w:spacing w:line="38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电   话：88968</w:t>
            </w:r>
            <w:r>
              <w:rPr>
                <w:rFonts w:hint="eastAsia" w:ascii="Times New Roman" w:hAnsi="Times New Roman" w:eastAsia="方正仿宋_GBK" w:cs="Times New Roman"/>
                <w:sz w:val="28"/>
                <w:szCs w:val="28"/>
              </w:rPr>
              <w:t>736</w:t>
            </w:r>
            <w:r>
              <w:rPr>
                <w:rFonts w:hint="eastAsia" w:ascii="Times New Roman" w:hAnsi="Times New Roman" w:eastAsia="方正仿宋_GBK" w:cs="Times New Roman"/>
                <w:sz w:val="32"/>
                <w:szCs w:val="32"/>
              </w:rPr>
              <w:t xml:space="preserve">/ </w:t>
            </w:r>
            <w:r>
              <w:rPr>
                <w:rFonts w:hint="eastAsia" w:ascii="Times New Roman" w:hAnsi="Times New Roman" w:eastAsia="方正仿宋_GBK" w:cs="Times New Roman"/>
                <w:sz w:val="28"/>
                <w:szCs w:val="28"/>
              </w:rPr>
              <w:t>13272608984</w:t>
            </w:r>
          </w:p>
        </w:tc>
      </w:tr>
      <w:tr w14:paraId="684C7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70758F7F">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1.2.1</w:t>
            </w:r>
          </w:p>
        </w:tc>
        <w:tc>
          <w:tcPr>
            <w:tcW w:w="1515" w:type="dxa"/>
            <w:tcBorders>
              <w:top w:val="single" w:color="auto" w:sz="4" w:space="0"/>
              <w:left w:val="single" w:color="auto" w:sz="4" w:space="0"/>
              <w:bottom w:val="single" w:color="auto" w:sz="4" w:space="0"/>
              <w:right w:val="single" w:color="auto" w:sz="4" w:space="0"/>
            </w:tcBorders>
            <w:vAlign w:val="center"/>
          </w:tcPr>
          <w:p w14:paraId="690EEAC7">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资金来源</w:t>
            </w:r>
          </w:p>
        </w:tc>
        <w:tc>
          <w:tcPr>
            <w:tcW w:w="6092" w:type="dxa"/>
            <w:tcBorders>
              <w:top w:val="single" w:color="auto" w:sz="4" w:space="0"/>
              <w:left w:val="single" w:color="auto" w:sz="4" w:space="0"/>
              <w:bottom w:val="single" w:color="auto" w:sz="4" w:space="0"/>
              <w:right w:val="single" w:color="auto" w:sz="4" w:space="0"/>
            </w:tcBorders>
            <w:vAlign w:val="center"/>
          </w:tcPr>
          <w:p w14:paraId="7C51C701">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招标人自筹</w:t>
            </w:r>
          </w:p>
        </w:tc>
      </w:tr>
      <w:tr w14:paraId="592E8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5834B36B">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1.3.1</w:t>
            </w:r>
          </w:p>
        </w:tc>
        <w:tc>
          <w:tcPr>
            <w:tcW w:w="1515" w:type="dxa"/>
            <w:tcBorders>
              <w:top w:val="single" w:color="auto" w:sz="4" w:space="0"/>
              <w:left w:val="single" w:color="auto" w:sz="4" w:space="0"/>
              <w:bottom w:val="single" w:color="auto" w:sz="4" w:space="0"/>
              <w:right w:val="single" w:color="auto" w:sz="4" w:space="0"/>
            </w:tcBorders>
            <w:vAlign w:val="center"/>
          </w:tcPr>
          <w:p w14:paraId="78D3F552">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招标范围</w:t>
            </w:r>
          </w:p>
        </w:tc>
        <w:tc>
          <w:tcPr>
            <w:tcW w:w="6092" w:type="dxa"/>
            <w:tcBorders>
              <w:top w:val="single" w:color="auto" w:sz="4" w:space="0"/>
              <w:left w:val="single" w:color="auto" w:sz="4" w:space="0"/>
              <w:bottom w:val="single" w:color="auto" w:sz="4" w:space="0"/>
              <w:right w:val="single" w:color="auto" w:sz="4" w:space="0"/>
            </w:tcBorders>
            <w:vAlign w:val="center"/>
          </w:tcPr>
          <w:p w14:paraId="767748BE">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 xml:space="preserve">详见招标文件第三章 </w:t>
            </w:r>
            <w:r>
              <w:rPr>
                <w:rFonts w:hint="eastAsia" w:ascii="Times New Roman" w:hAnsi="Times New Roman" w:eastAsia="方正仿宋_GBK" w:cs="Times New Roman"/>
                <w:sz w:val="28"/>
                <w:szCs w:val="28"/>
              </w:rPr>
              <w:t>招标数量及参数要求</w:t>
            </w:r>
          </w:p>
        </w:tc>
      </w:tr>
      <w:tr w14:paraId="06827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trPr>
        <w:tc>
          <w:tcPr>
            <w:tcW w:w="865" w:type="dxa"/>
            <w:tcBorders>
              <w:top w:val="single" w:color="auto" w:sz="4" w:space="0"/>
              <w:left w:val="single" w:color="auto" w:sz="4" w:space="0"/>
              <w:bottom w:val="single" w:color="auto" w:sz="4" w:space="0"/>
              <w:right w:val="single" w:color="auto" w:sz="4" w:space="0"/>
            </w:tcBorders>
            <w:vAlign w:val="center"/>
          </w:tcPr>
          <w:p w14:paraId="69206B87">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1.3.2</w:t>
            </w:r>
          </w:p>
        </w:tc>
        <w:tc>
          <w:tcPr>
            <w:tcW w:w="1515" w:type="dxa"/>
            <w:tcBorders>
              <w:top w:val="single" w:color="auto" w:sz="4" w:space="0"/>
              <w:left w:val="single" w:color="auto" w:sz="4" w:space="0"/>
              <w:bottom w:val="single" w:color="auto" w:sz="4" w:space="0"/>
              <w:right w:val="single" w:color="auto" w:sz="4" w:space="0"/>
            </w:tcBorders>
            <w:vAlign w:val="center"/>
          </w:tcPr>
          <w:p w14:paraId="1BCA063E">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交货方式</w:t>
            </w:r>
          </w:p>
          <w:p w14:paraId="305E3717">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交货时间</w:t>
            </w:r>
          </w:p>
        </w:tc>
        <w:tc>
          <w:tcPr>
            <w:tcW w:w="6092" w:type="dxa"/>
            <w:tcBorders>
              <w:top w:val="single" w:color="auto" w:sz="4" w:space="0"/>
              <w:left w:val="single" w:color="auto" w:sz="4" w:space="0"/>
              <w:bottom w:val="single" w:color="auto" w:sz="4" w:space="0"/>
              <w:right w:val="single" w:color="auto" w:sz="4" w:space="0"/>
            </w:tcBorders>
            <w:vAlign w:val="center"/>
          </w:tcPr>
          <w:p w14:paraId="3BEBD631">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1.交货方式：重庆财经学院指定位置。</w:t>
            </w:r>
          </w:p>
          <w:p w14:paraId="19053D9B">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2.交货时间：</w:t>
            </w:r>
            <w:r>
              <w:rPr>
                <w:rFonts w:hint="eastAsia" w:ascii="Times New Roman" w:hAnsi="Times New Roman" w:eastAsia="方正仿宋_GBK" w:cs="Times New Roman"/>
                <w:sz w:val="28"/>
                <w:szCs w:val="28"/>
              </w:rPr>
              <w:t>签订合同后10天内开始软硬件安装调试，60天之内完成系统所有功能的调试进行试运行。</w:t>
            </w:r>
          </w:p>
        </w:tc>
      </w:tr>
      <w:tr w14:paraId="464DC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trPr>
        <w:tc>
          <w:tcPr>
            <w:tcW w:w="865" w:type="dxa"/>
            <w:tcBorders>
              <w:top w:val="single" w:color="auto" w:sz="4" w:space="0"/>
              <w:left w:val="single" w:color="auto" w:sz="4" w:space="0"/>
              <w:bottom w:val="single" w:color="auto" w:sz="4" w:space="0"/>
              <w:right w:val="single" w:color="auto" w:sz="4" w:space="0"/>
            </w:tcBorders>
            <w:vAlign w:val="center"/>
          </w:tcPr>
          <w:p w14:paraId="55E6BD4F">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1.3.3</w:t>
            </w:r>
          </w:p>
        </w:tc>
        <w:tc>
          <w:tcPr>
            <w:tcW w:w="1515" w:type="dxa"/>
            <w:tcBorders>
              <w:top w:val="single" w:color="auto" w:sz="4" w:space="0"/>
              <w:left w:val="single" w:color="auto" w:sz="4" w:space="0"/>
              <w:bottom w:val="single" w:color="auto" w:sz="4" w:space="0"/>
              <w:right w:val="single" w:color="auto" w:sz="4" w:space="0"/>
            </w:tcBorders>
            <w:vAlign w:val="center"/>
          </w:tcPr>
          <w:p w14:paraId="0FF95F29">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伴随服务要求</w:t>
            </w:r>
          </w:p>
        </w:tc>
        <w:tc>
          <w:tcPr>
            <w:tcW w:w="6092" w:type="dxa"/>
            <w:tcBorders>
              <w:top w:val="single" w:color="auto" w:sz="4" w:space="0"/>
              <w:left w:val="single" w:color="auto" w:sz="4" w:space="0"/>
              <w:bottom w:val="single" w:color="auto" w:sz="4" w:space="0"/>
              <w:right w:val="single" w:color="auto" w:sz="4" w:space="0"/>
            </w:tcBorders>
            <w:vAlign w:val="center"/>
          </w:tcPr>
          <w:p w14:paraId="241F6352">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1.包装要求：所有软件及介质按照制造商规定的产品包装和随机标准附件为准。</w:t>
            </w:r>
          </w:p>
          <w:p w14:paraId="5B79127F">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2.‌</w:t>
            </w:r>
            <w:r>
              <w:rPr>
                <w:rFonts w:ascii="Times New Roman" w:hAnsi="Times New Roman" w:eastAsia="方正仿宋_GBK" w:cs="Times New Roman"/>
                <w:sz w:val="28"/>
                <w:szCs w:val="28"/>
              </w:rPr>
              <w:t>技术文件提交‌：</w:t>
            </w:r>
            <w:r>
              <w:rPr>
                <w:rFonts w:hint="eastAsia" w:ascii="Times New Roman" w:hAnsi="Times New Roman" w:eastAsia="方正仿宋_GBK" w:cs="Times New Roman"/>
                <w:sz w:val="28"/>
                <w:szCs w:val="28"/>
              </w:rPr>
              <w:t>提供操作手册、维护指南等中文技术文档及电子版资料</w:t>
            </w:r>
            <w:r>
              <w:rPr>
                <w:rFonts w:ascii="Times New Roman" w:hAnsi="Times New Roman" w:eastAsia="方正仿宋_GBK" w:cs="Times New Roman"/>
                <w:sz w:val="28"/>
                <w:szCs w:val="28"/>
              </w:rPr>
              <w:t>。</w:t>
            </w:r>
          </w:p>
          <w:p w14:paraId="216BABAC">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3.</w:t>
            </w:r>
            <w:r>
              <w:rPr>
                <w:rFonts w:ascii="Times New Roman" w:hAnsi="Times New Roman" w:eastAsia="方正仿宋_GBK" w:cs="Times New Roman"/>
                <w:sz w:val="28"/>
                <w:szCs w:val="28"/>
              </w:rPr>
              <w:t>‌现场支持‌：包括</w:t>
            </w:r>
            <w:r>
              <w:rPr>
                <w:rFonts w:hint="eastAsia" w:ascii="Times New Roman" w:hAnsi="Times New Roman" w:eastAsia="方正仿宋_GBK" w:cs="Times New Roman"/>
                <w:sz w:val="28"/>
                <w:szCs w:val="28"/>
              </w:rPr>
              <w:t>软件安装、调试、启动监督及故障排除</w:t>
            </w:r>
            <w:r>
              <w:rPr>
                <w:rFonts w:ascii="Times New Roman" w:hAnsi="Times New Roman" w:eastAsia="方正仿宋_GBK" w:cs="Times New Roman"/>
                <w:sz w:val="28"/>
                <w:szCs w:val="28"/>
              </w:rPr>
              <w:t>。</w:t>
            </w:r>
          </w:p>
          <w:p w14:paraId="3479257D">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4.</w:t>
            </w:r>
            <w:r>
              <w:rPr>
                <w:rFonts w:ascii="Times New Roman" w:hAnsi="Times New Roman" w:eastAsia="方正仿宋_GBK" w:cs="Times New Roman"/>
                <w:sz w:val="28"/>
                <w:szCs w:val="28"/>
              </w:rPr>
              <w:t>‌培训服务‌：</w:t>
            </w:r>
            <w:r>
              <w:rPr>
                <w:rFonts w:hint="eastAsia" w:ascii="Times New Roman" w:hAnsi="Times New Roman" w:eastAsia="方正仿宋_GBK" w:cs="Times New Roman"/>
                <w:sz w:val="28"/>
                <w:szCs w:val="28"/>
              </w:rPr>
              <w:t>投标人需对学校派出的参与此项目的老师，做本次采购软件架构及功能说明、软件的操作，软件的维护等进行培训；使负责使用的老师和技术负责人员能够完全掌握系统正常情况下的日常运行维护和简单故障的排除等。</w:t>
            </w:r>
          </w:p>
          <w:p w14:paraId="6B0B7981">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5.</w:t>
            </w:r>
            <w:r>
              <w:rPr>
                <w:rFonts w:ascii="Times New Roman" w:hAnsi="Times New Roman" w:eastAsia="方正仿宋_GBK" w:cs="Times New Roman"/>
                <w:sz w:val="28"/>
                <w:szCs w:val="28"/>
              </w:rPr>
              <w:t>‌专用工具与备件‌：提供安装、维修所需的专用工具及随机备品备件。</w:t>
            </w:r>
          </w:p>
        </w:tc>
      </w:tr>
      <w:tr w14:paraId="5FB33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3" w:hRule="atLeast"/>
        </w:trPr>
        <w:tc>
          <w:tcPr>
            <w:tcW w:w="865" w:type="dxa"/>
            <w:tcBorders>
              <w:top w:val="single" w:color="auto" w:sz="4" w:space="0"/>
              <w:left w:val="single" w:color="auto" w:sz="4" w:space="0"/>
              <w:bottom w:val="single" w:color="auto" w:sz="4" w:space="0"/>
              <w:right w:val="single" w:color="auto" w:sz="4" w:space="0"/>
            </w:tcBorders>
            <w:vAlign w:val="center"/>
          </w:tcPr>
          <w:p w14:paraId="30194A81">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1.3.4</w:t>
            </w:r>
          </w:p>
        </w:tc>
        <w:tc>
          <w:tcPr>
            <w:tcW w:w="1515" w:type="dxa"/>
            <w:tcBorders>
              <w:top w:val="single" w:color="auto" w:sz="4" w:space="0"/>
              <w:left w:val="single" w:color="auto" w:sz="4" w:space="0"/>
              <w:bottom w:val="single" w:color="auto" w:sz="4" w:space="0"/>
              <w:right w:val="single" w:color="auto" w:sz="4" w:space="0"/>
            </w:tcBorders>
            <w:vAlign w:val="center"/>
          </w:tcPr>
          <w:p w14:paraId="554C0709">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质量保证期</w:t>
            </w:r>
          </w:p>
        </w:tc>
        <w:tc>
          <w:tcPr>
            <w:tcW w:w="6092" w:type="dxa"/>
            <w:tcBorders>
              <w:top w:val="single" w:color="auto" w:sz="4" w:space="0"/>
              <w:left w:val="single" w:color="auto" w:sz="4" w:space="0"/>
              <w:bottom w:val="single" w:color="auto" w:sz="4" w:space="0"/>
              <w:right w:val="single" w:color="auto" w:sz="4" w:space="0"/>
            </w:tcBorders>
            <w:vAlign w:val="center"/>
          </w:tcPr>
          <w:p w14:paraId="28B5C4B0">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验收合格后质保生效，系统免费质保服务期至少4年</w:t>
            </w:r>
          </w:p>
        </w:tc>
      </w:tr>
      <w:tr w14:paraId="65E7D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789DC4F5">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1.3.5</w:t>
            </w:r>
          </w:p>
        </w:tc>
        <w:tc>
          <w:tcPr>
            <w:tcW w:w="1515" w:type="dxa"/>
            <w:tcBorders>
              <w:top w:val="single" w:color="auto" w:sz="4" w:space="0"/>
              <w:left w:val="single" w:color="auto" w:sz="4" w:space="0"/>
              <w:bottom w:val="single" w:color="auto" w:sz="4" w:space="0"/>
              <w:right w:val="single" w:color="auto" w:sz="4" w:space="0"/>
            </w:tcBorders>
            <w:vAlign w:val="center"/>
          </w:tcPr>
          <w:p w14:paraId="5799D70D">
            <w:pPr>
              <w:spacing w:line="400" w:lineRule="exact"/>
              <w:jc w:val="center"/>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质量要求</w:t>
            </w:r>
          </w:p>
        </w:tc>
        <w:tc>
          <w:tcPr>
            <w:tcW w:w="6092" w:type="dxa"/>
            <w:tcBorders>
              <w:top w:val="single" w:color="auto" w:sz="4" w:space="0"/>
              <w:left w:val="single" w:color="auto" w:sz="4" w:space="0"/>
              <w:bottom w:val="single" w:color="auto" w:sz="4" w:space="0"/>
              <w:right w:val="single" w:color="auto" w:sz="4" w:space="0"/>
            </w:tcBorders>
            <w:vAlign w:val="center"/>
          </w:tcPr>
          <w:p w14:paraId="43DBE4DD">
            <w:pPr>
              <w:spacing w:line="400" w:lineRule="exact"/>
              <w:rPr>
                <w:rFonts w:ascii="Times New Roman" w:hAnsi="Times New Roman" w:eastAsia="方正仿宋_GBK" w:cs="Times New Roman"/>
                <w:sz w:val="28"/>
                <w:szCs w:val="28"/>
              </w:rPr>
            </w:pPr>
            <w:r>
              <w:rPr>
                <w:rFonts w:hint="eastAsia" w:ascii="方正仿宋_GBK" w:hAnsi="方正仿宋_GBK" w:eastAsia="方正仿宋_GBK" w:cs="方正仿宋_GBK"/>
                <w:sz w:val="30"/>
                <w:szCs w:val="30"/>
              </w:rPr>
              <w:t>确保提供符合要求的合格产品，且所提供的软件产品性能可靠、功能齐全、运行稳定；使用人在中华人民共和国境内使用供应商提供的货物及服务时免受第三方提出的侵犯其专利权或其它知识产权的起诉。如果第三方提出侵权指控，供应商应承担由此而引起的一切法律责任和费用。</w:t>
            </w:r>
          </w:p>
        </w:tc>
      </w:tr>
      <w:tr w14:paraId="113B4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65" w:type="dxa"/>
            <w:tcBorders>
              <w:top w:val="single" w:color="auto" w:sz="4" w:space="0"/>
              <w:left w:val="single" w:color="auto" w:sz="4" w:space="0"/>
              <w:bottom w:val="single" w:color="auto" w:sz="4" w:space="0"/>
              <w:right w:val="single" w:color="auto" w:sz="4" w:space="0"/>
            </w:tcBorders>
            <w:vAlign w:val="center"/>
          </w:tcPr>
          <w:p w14:paraId="09FBC8E0">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1.3.6</w:t>
            </w:r>
          </w:p>
        </w:tc>
        <w:tc>
          <w:tcPr>
            <w:tcW w:w="1515" w:type="dxa"/>
            <w:tcBorders>
              <w:top w:val="single" w:color="auto" w:sz="4" w:space="0"/>
              <w:left w:val="single" w:color="auto" w:sz="4" w:space="0"/>
              <w:bottom w:val="single" w:color="auto" w:sz="4" w:space="0"/>
              <w:right w:val="single" w:color="auto" w:sz="4" w:space="0"/>
            </w:tcBorders>
            <w:vAlign w:val="center"/>
          </w:tcPr>
          <w:p w14:paraId="1B55FA1E">
            <w:pPr>
              <w:widowControl/>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售后服务</w:t>
            </w:r>
          </w:p>
        </w:tc>
        <w:tc>
          <w:tcPr>
            <w:tcW w:w="6092" w:type="dxa"/>
            <w:tcBorders>
              <w:top w:val="single" w:color="auto" w:sz="4" w:space="0"/>
              <w:left w:val="single" w:color="auto" w:sz="4" w:space="0"/>
              <w:bottom w:val="single" w:color="auto" w:sz="4" w:space="0"/>
              <w:right w:val="single" w:color="auto" w:sz="4" w:space="0"/>
            </w:tcBorders>
            <w:vAlign w:val="center"/>
          </w:tcPr>
          <w:p w14:paraId="40C203D2">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质保期内</w:t>
            </w:r>
            <w:r>
              <w:rPr>
                <w:rFonts w:ascii="Times New Roman" w:hAnsi="Times New Roman" w:eastAsia="方正仿宋_GBK" w:cs="Times New Roman"/>
                <w:sz w:val="28"/>
                <w:szCs w:val="28"/>
              </w:rPr>
              <w:t>‌服务承诺</w:t>
            </w:r>
          </w:p>
          <w:p w14:paraId="7515D7C8">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（1）质保期内免费上门进行维护及故障处理，供应商提供7*24小时响应服务，当供应商接到故障或运行问题通知后，须立即响应并在24小时内免费上门（或电话、远程网路）服务且恢复正常。</w:t>
            </w:r>
          </w:p>
          <w:p w14:paraId="6204101C">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（2）在质保期内，如果供应商的软件技术升级，供应商应及时通知使用人，如使用人有相应要求，供应商应对软件进行免费升级服务。</w:t>
            </w:r>
          </w:p>
          <w:p w14:paraId="50EAF722">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3）质保期外服务要求：质量保证期过后，供应商和厂家应同样提供免费电话咨询服务，并应承诺提供产品上门维护服务；质量保证期过后，使用人需要继续由原供应商和厂家提供售后服务的，该供应商和厂家应以优惠价格提供售后服务。</w:t>
            </w:r>
          </w:p>
          <w:p w14:paraId="6117C1F2">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（4）对于检测到的系统自身的安全漏洞，供应商须终身免费进行修复。</w:t>
            </w:r>
          </w:p>
          <w:p w14:paraId="11157BDE">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（5）对使用人提供免费技术培训，确保使用人员能够正常操作。</w:t>
            </w:r>
          </w:p>
        </w:tc>
      </w:tr>
      <w:tr w14:paraId="071A6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ABB7523">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1.3.7</w:t>
            </w:r>
          </w:p>
        </w:tc>
        <w:tc>
          <w:tcPr>
            <w:tcW w:w="1515" w:type="dxa"/>
            <w:tcBorders>
              <w:top w:val="single" w:color="auto" w:sz="4" w:space="0"/>
              <w:left w:val="single" w:color="auto" w:sz="4" w:space="0"/>
              <w:bottom w:val="single" w:color="auto" w:sz="4" w:space="0"/>
              <w:right w:val="single" w:color="auto" w:sz="4" w:space="0"/>
            </w:tcBorders>
            <w:vAlign w:val="center"/>
          </w:tcPr>
          <w:p w14:paraId="74898EC3">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项目验收</w:t>
            </w:r>
          </w:p>
        </w:tc>
        <w:tc>
          <w:tcPr>
            <w:tcW w:w="6092" w:type="dxa"/>
            <w:tcBorders>
              <w:top w:val="single" w:color="auto" w:sz="4" w:space="0"/>
              <w:left w:val="single" w:color="auto" w:sz="4" w:space="0"/>
              <w:bottom w:val="single" w:color="auto" w:sz="4" w:space="0"/>
              <w:right w:val="single" w:color="auto" w:sz="4" w:space="0"/>
            </w:tcBorders>
          </w:tcPr>
          <w:p w14:paraId="31E3B9C3">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1.产品到达现场后，中标人应在使用单位人员在场情况下当面开箱，共同清点、检查外观，作出开箱记录，双方签字确认。</w:t>
            </w:r>
          </w:p>
          <w:p w14:paraId="44ACEE1D">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2.中标人应保证货物到达采购人所在地完好无损，如有缺漏、损坏，由投标人负责调换、补齐或赔偿。</w:t>
            </w:r>
          </w:p>
          <w:p w14:paraId="32B37FDD">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3.中标人应提供完备的技术资料、装箱单和合格证等，并派遣专业技术人员进行现场安装调试。</w:t>
            </w:r>
            <w:r>
              <w:rPr>
                <w:rFonts w:hint="eastAsia" w:ascii="Times New Roman" w:hAnsi="Times New Roman" w:eastAsia="方正仿宋_GBK" w:cs="Times New Roman"/>
                <w:b/>
                <w:bCs/>
                <w:sz w:val="28"/>
                <w:szCs w:val="28"/>
              </w:rPr>
              <w:t>验收合格条件如下：</w:t>
            </w:r>
          </w:p>
          <w:p w14:paraId="0AAA2BF8">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（1）软件技术参数与采购合同一致，</w:t>
            </w:r>
            <w:r>
              <w:rPr>
                <w:rFonts w:ascii="Times New Roman" w:hAnsi="Times New Roman" w:eastAsia="方正仿宋_GBK" w:cs="Times New Roman"/>
                <w:sz w:val="28"/>
                <w:szCs w:val="28"/>
              </w:rPr>
              <w:t>符合国家或行业标准，</w:t>
            </w:r>
            <w:r>
              <w:rPr>
                <w:rFonts w:hint="eastAsia" w:ascii="Times New Roman" w:hAnsi="Times New Roman" w:eastAsia="方正仿宋_GBK" w:cs="Times New Roman"/>
                <w:sz w:val="28"/>
                <w:szCs w:val="28"/>
              </w:rPr>
              <w:t>完全实现招标人功能需求，并</w:t>
            </w:r>
            <w:r>
              <w:rPr>
                <w:rFonts w:ascii="Times New Roman" w:hAnsi="Times New Roman" w:eastAsia="方正仿宋_GBK" w:cs="Times New Roman"/>
                <w:sz w:val="28"/>
                <w:szCs w:val="28"/>
              </w:rPr>
              <w:t>确保无知识产权纠纷‌</w:t>
            </w:r>
            <w:r>
              <w:rPr>
                <w:rFonts w:hint="eastAsia" w:ascii="Times New Roman" w:hAnsi="Times New Roman" w:eastAsia="方正仿宋_GBK" w:cs="Times New Roman"/>
                <w:sz w:val="28"/>
                <w:szCs w:val="28"/>
              </w:rPr>
              <w:t>。</w:t>
            </w:r>
          </w:p>
          <w:p w14:paraId="1C962888">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（2）软件技术资料、软件介质、装箱单、合格证等资料齐全。</w:t>
            </w:r>
          </w:p>
          <w:p w14:paraId="10773911">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（3）在系统试运行期间所出现的问题得到解决，并运行正常。</w:t>
            </w:r>
          </w:p>
          <w:p w14:paraId="2383BA49">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（4）投标人完成培训等伴随服务。</w:t>
            </w:r>
          </w:p>
          <w:p w14:paraId="47F27F7B">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（5）投标人</w:t>
            </w:r>
            <w:r>
              <w:rPr>
                <w:rFonts w:ascii="Times New Roman" w:hAnsi="Times New Roman" w:eastAsia="方正仿宋_GBK" w:cs="Times New Roman"/>
                <w:sz w:val="28"/>
                <w:szCs w:val="28"/>
              </w:rPr>
              <w:t>需</w:t>
            </w:r>
            <w:r>
              <w:rPr>
                <w:rFonts w:hint="eastAsia" w:ascii="Times New Roman" w:hAnsi="Times New Roman" w:eastAsia="方正仿宋_GBK" w:cs="Times New Roman"/>
                <w:sz w:val="28"/>
                <w:szCs w:val="28"/>
              </w:rPr>
              <w:t>在规定时间内</w:t>
            </w:r>
            <w:r>
              <w:rPr>
                <w:rFonts w:ascii="Times New Roman" w:hAnsi="Times New Roman" w:eastAsia="方正仿宋_GBK" w:cs="Times New Roman"/>
                <w:sz w:val="28"/>
                <w:szCs w:val="28"/>
              </w:rPr>
              <w:t>完成检测、调试及试运行，</w:t>
            </w:r>
            <w:r>
              <w:rPr>
                <w:rFonts w:hint="eastAsia" w:ascii="Times New Roman" w:hAnsi="Times New Roman" w:eastAsia="方正仿宋_GBK" w:cs="Times New Roman"/>
                <w:sz w:val="28"/>
                <w:szCs w:val="28"/>
              </w:rPr>
              <w:t>并经采购人确认。</w:t>
            </w:r>
          </w:p>
          <w:p w14:paraId="51293400">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4.产品在安装调试并试运行符合要求，且成功试运行不少于6个月后才作为最终验收。</w:t>
            </w:r>
          </w:p>
          <w:p w14:paraId="66C66110">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5.投标人提供的产品未达到招标文件规定要求，且对采购人造成损失的，由投标人承担一切责任，并赔偿所造成的损失。</w:t>
            </w:r>
          </w:p>
          <w:p w14:paraId="2F3EEB36">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6.产品包装材料归采购人所有。</w:t>
            </w:r>
          </w:p>
        </w:tc>
      </w:tr>
      <w:tr w14:paraId="132A1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1A64DF7B">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1.4.1</w:t>
            </w:r>
          </w:p>
        </w:tc>
        <w:tc>
          <w:tcPr>
            <w:tcW w:w="1515" w:type="dxa"/>
            <w:tcBorders>
              <w:top w:val="single" w:color="auto" w:sz="4" w:space="0"/>
              <w:left w:val="single" w:color="auto" w:sz="4" w:space="0"/>
              <w:bottom w:val="single" w:color="auto" w:sz="4" w:space="0"/>
              <w:right w:val="single" w:color="auto" w:sz="4" w:space="0"/>
            </w:tcBorders>
            <w:vAlign w:val="center"/>
          </w:tcPr>
          <w:p w14:paraId="2ADE42D5">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投标人资质条件、能力和信誉</w:t>
            </w:r>
          </w:p>
        </w:tc>
        <w:tc>
          <w:tcPr>
            <w:tcW w:w="6092" w:type="dxa"/>
            <w:tcBorders>
              <w:top w:val="single" w:color="auto" w:sz="4" w:space="0"/>
              <w:left w:val="single" w:color="auto" w:sz="4" w:space="0"/>
              <w:bottom w:val="single" w:color="auto" w:sz="4" w:space="0"/>
              <w:right w:val="single" w:color="auto" w:sz="4" w:space="0"/>
            </w:tcBorders>
            <w:vAlign w:val="center"/>
          </w:tcPr>
          <w:p w14:paraId="13E73BFA">
            <w:pPr>
              <w:spacing w:line="380" w:lineRule="exact"/>
              <w:ind w:firstLine="560" w:firstLineChars="200"/>
              <w:rPr>
                <w:rFonts w:ascii="Times New Roman" w:hAnsi="Times New Roman" w:eastAsia="方正仿宋_GBK" w:cs="Times New Roman"/>
                <w:sz w:val="28"/>
                <w:szCs w:val="28"/>
              </w:rPr>
            </w:pPr>
            <w:r>
              <w:rPr>
                <w:rFonts w:ascii="Times New Roman" w:hAnsi="Times New Roman" w:eastAsia="方正仿宋_GBK" w:cs="Times New Roman"/>
                <w:sz w:val="28"/>
                <w:szCs w:val="28"/>
              </w:rPr>
              <w:t>本项目招标实行资格后审，投标人应具备以下资格条件：</w:t>
            </w:r>
          </w:p>
          <w:p w14:paraId="2D461963">
            <w:pPr>
              <w:spacing w:line="380" w:lineRule="exact"/>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1．投标人具有独立承担民事责任的能力，需提供营业执照等证明文件；</w:t>
            </w:r>
          </w:p>
          <w:p w14:paraId="7F688DAC">
            <w:pPr>
              <w:spacing w:line="380" w:lineRule="exact"/>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2．投标人具有良好的商业信誉和健全的财务会计制度，需提供近三年的财务报表</w:t>
            </w:r>
            <w:r>
              <w:rPr>
                <w:rFonts w:hint="eastAsia" w:ascii="方正仿宋_GBK" w:hAnsi="方正仿宋_GBK" w:eastAsia="方正仿宋_GBK" w:cs="方正仿宋_GBK"/>
                <w:sz w:val="30"/>
                <w:szCs w:val="30"/>
              </w:rPr>
              <w:t>（包括资产负债表、利润表和现金流量表）</w:t>
            </w:r>
            <w:r>
              <w:rPr>
                <w:rFonts w:hint="eastAsia" w:ascii="Times New Roman" w:hAnsi="Times New Roman" w:eastAsia="方正仿宋_GBK" w:cs="Times New Roman"/>
                <w:sz w:val="32"/>
                <w:szCs w:val="32"/>
              </w:rPr>
              <w:t>；</w:t>
            </w:r>
          </w:p>
          <w:p w14:paraId="16E86370">
            <w:pPr>
              <w:spacing w:line="380" w:lineRule="exact"/>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3．投标人具有依法缴纳税收和社会保障资金的良好纪录；</w:t>
            </w:r>
          </w:p>
          <w:p w14:paraId="360820CC">
            <w:pPr>
              <w:spacing w:line="380" w:lineRule="exact"/>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4．投标人具有履行合同所必需的专业技术能力；</w:t>
            </w:r>
          </w:p>
          <w:p w14:paraId="6E6256F0">
            <w:pPr>
              <w:spacing w:line="380" w:lineRule="exact"/>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5．投标人参加招标采购活动前三年内，没有骗取中标行为，无不正当理由放弃中标（成交）行为，未进行过恶意投诉，在经营活动中没有违法、违规记录；</w:t>
            </w:r>
          </w:p>
          <w:p w14:paraId="2AE1AEBB">
            <w:pPr>
              <w:spacing w:line="38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6</w:t>
            </w:r>
            <w:r>
              <w:rPr>
                <w:rFonts w:hint="eastAsia" w:ascii="Times New Roman" w:hAnsi="Times New Roman" w:eastAsia="方正仿宋_GBK" w:cs="Times New Roman"/>
                <w:sz w:val="32"/>
                <w:szCs w:val="32"/>
              </w:rPr>
              <w:t>．</w:t>
            </w:r>
            <w:r>
              <w:rPr>
                <w:rFonts w:hint="eastAsia" w:ascii="Times New Roman" w:hAnsi="Times New Roman" w:eastAsia="方正仿宋_GBK" w:cs="Times New Roman"/>
                <w:sz w:val="28"/>
                <w:szCs w:val="28"/>
              </w:rPr>
              <w:t xml:space="preserve">投标人具有完善的质量保证和售后服务体系； </w:t>
            </w:r>
          </w:p>
          <w:p w14:paraId="1C174FA6">
            <w:pPr>
              <w:spacing w:line="38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7</w:t>
            </w:r>
            <w:r>
              <w:rPr>
                <w:rFonts w:hint="eastAsia" w:ascii="Times New Roman" w:hAnsi="Times New Roman" w:eastAsia="方正仿宋_GBK" w:cs="Times New Roman"/>
                <w:sz w:val="32"/>
                <w:szCs w:val="32"/>
              </w:rPr>
              <w:t>．</w:t>
            </w:r>
            <w:r>
              <w:rPr>
                <w:rFonts w:hint="eastAsia" w:ascii="Times New Roman" w:hAnsi="Times New Roman" w:eastAsia="方正仿宋_GBK" w:cs="Times New Roman"/>
                <w:sz w:val="28"/>
                <w:szCs w:val="28"/>
              </w:rPr>
              <w:t>投标方需提供2023年1月1日以来签署的高校相关项目合同复印件（单个合同金额至少40万元，或累计合同金额至少150万元）及类似项目履约能力证明材料；</w:t>
            </w:r>
          </w:p>
          <w:p w14:paraId="569A27F2">
            <w:pPr>
              <w:spacing w:line="38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8.投标人具有本项目软件的知识产权或经销授权。</w:t>
            </w:r>
          </w:p>
        </w:tc>
      </w:tr>
      <w:tr w14:paraId="3B2CF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3" w:hRule="atLeast"/>
        </w:trPr>
        <w:tc>
          <w:tcPr>
            <w:tcW w:w="865" w:type="dxa"/>
            <w:tcBorders>
              <w:top w:val="single" w:color="auto" w:sz="4" w:space="0"/>
              <w:left w:val="single" w:color="auto" w:sz="4" w:space="0"/>
              <w:bottom w:val="single" w:color="auto" w:sz="4" w:space="0"/>
              <w:right w:val="single" w:color="auto" w:sz="4" w:space="0"/>
            </w:tcBorders>
            <w:vAlign w:val="center"/>
          </w:tcPr>
          <w:p w14:paraId="51CC2216">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1.4.2</w:t>
            </w:r>
          </w:p>
        </w:tc>
        <w:tc>
          <w:tcPr>
            <w:tcW w:w="1515" w:type="dxa"/>
            <w:tcBorders>
              <w:top w:val="single" w:color="auto" w:sz="4" w:space="0"/>
              <w:left w:val="single" w:color="auto" w:sz="4" w:space="0"/>
              <w:bottom w:val="single" w:color="auto" w:sz="4" w:space="0"/>
              <w:right w:val="single" w:color="auto" w:sz="4" w:space="0"/>
            </w:tcBorders>
            <w:vAlign w:val="center"/>
          </w:tcPr>
          <w:p w14:paraId="1F4476EB">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是否接受联合体投标</w:t>
            </w:r>
          </w:p>
        </w:tc>
        <w:tc>
          <w:tcPr>
            <w:tcW w:w="6092" w:type="dxa"/>
            <w:tcBorders>
              <w:top w:val="single" w:color="auto" w:sz="4" w:space="0"/>
              <w:left w:val="single" w:color="auto" w:sz="4" w:space="0"/>
              <w:bottom w:val="single" w:color="auto" w:sz="4" w:space="0"/>
              <w:right w:val="single" w:color="auto" w:sz="4" w:space="0"/>
            </w:tcBorders>
            <w:vAlign w:val="center"/>
          </w:tcPr>
          <w:p w14:paraId="2092CF71">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不接受。</w:t>
            </w:r>
          </w:p>
        </w:tc>
      </w:tr>
      <w:tr w14:paraId="50644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677DAA2">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1.9.1</w:t>
            </w:r>
          </w:p>
        </w:tc>
        <w:tc>
          <w:tcPr>
            <w:tcW w:w="1515" w:type="dxa"/>
            <w:tcBorders>
              <w:top w:val="single" w:color="auto" w:sz="4" w:space="0"/>
              <w:left w:val="single" w:color="auto" w:sz="4" w:space="0"/>
              <w:bottom w:val="single" w:color="auto" w:sz="4" w:space="0"/>
              <w:right w:val="single" w:color="auto" w:sz="4" w:space="0"/>
            </w:tcBorders>
            <w:vAlign w:val="center"/>
          </w:tcPr>
          <w:p w14:paraId="7F0B41AE">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踏勘现场</w:t>
            </w:r>
          </w:p>
        </w:tc>
        <w:tc>
          <w:tcPr>
            <w:tcW w:w="6092" w:type="dxa"/>
            <w:tcBorders>
              <w:top w:val="single" w:color="auto" w:sz="4" w:space="0"/>
              <w:left w:val="single" w:color="auto" w:sz="4" w:space="0"/>
              <w:bottom w:val="single" w:color="auto" w:sz="4" w:space="0"/>
              <w:right w:val="single" w:color="auto" w:sz="4" w:space="0"/>
            </w:tcBorders>
            <w:vAlign w:val="center"/>
          </w:tcPr>
          <w:p w14:paraId="6DE39F54">
            <w:pPr>
              <w:tabs>
                <w:tab w:val="center" w:pos="4153"/>
                <w:tab w:val="right" w:pos="8306"/>
              </w:tabs>
              <w:snapToGrid w:val="0"/>
              <w:spacing w:line="400" w:lineRule="exact"/>
              <w:jc w:val="left"/>
              <w:rPr>
                <w:rFonts w:ascii="Times New Roman" w:hAnsi="Times New Roman" w:eastAsia="方正仿宋_GBK" w:cs="Times New Roman"/>
                <w:sz w:val="28"/>
                <w:szCs w:val="28"/>
              </w:rPr>
            </w:pPr>
            <w:r>
              <w:rPr>
                <w:rFonts w:ascii="Times New Roman" w:hAnsi="Times New Roman" w:eastAsia="方正仿宋_GBK" w:cs="Times New Roman"/>
                <w:sz w:val="28"/>
                <w:szCs w:val="28"/>
              </w:rPr>
              <w:t>联系人：</w:t>
            </w:r>
            <w:r>
              <w:rPr>
                <w:rFonts w:hint="eastAsia" w:ascii="Times New Roman" w:hAnsi="Times New Roman" w:eastAsia="方正仿宋_GBK" w:cs="Times New Roman"/>
                <w:sz w:val="28"/>
                <w:szCs w:val="28"/>
              </w:rPr>
              <w:t>朱老师（023-88968636）</w:t>
            </w:r>
          </w:p>
        </w:tc>
      </w:tr>
      <w:tr w14:paraId="2F99B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313AE2FA">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1.10.1</w:t>
            </w:r>
          </w:p>
        </w:tc>
        <w:tc>
          <w:tcPr>
            <w:tcW w:w="1515" w:type="dxa"/>
            <w:tcBorders>
              <w:top w:val="single" w:color="auto" w:sz="4" w:space="0"/>
              <w:left w:val="single" w:color="auto" w:sz="4" w:space="0"/>
              <w:bottom w:val="single" w:color="auto" w:sz="4" w:space="0"/>
              <w:right w:val="single" w:color="auto" w:sz="4" w:space="0"/>
            </w:tcBorders>
            <w:vAlign w:val="center"/>
          </w:tcPr>
          <w:p w14:paraId="3B225934">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投标预备会</w:t>
            </w:r>
          </w:p>
        </w:tc>
        <w:tc>
          <w:tcPr>
            <w:tcW w:w="6092" w:type="dxa"/>
            <w:tcBorders>
              <w:top w:val="single" w:color="auto" w:sz="4" w:space="0"/>
              <w:left w:val="single" w:color="auto" w:sz="4" w:space="0"/>
              <w:bottom w:val="single" w:color="auto" w:sz="4" w:space="0"/>
              <w:right w:val="single" w:color="auto" w:sz="4" w:space="0"/>
            </w:tcBorders>
            <w:vAlign w:val="center"/>
          </w:tcPr>
          <w:p w14:paraId="2FC4E533">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不召开</w:t>
            </w:r>
          </w:p>
        </w:tc>
      </w:tr>
      <w:tr w14:paraId="66E8B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360359A8">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1.11</w:t>
            </w:r>
          </w:p>
        </w:tc>
        <w:tc>
          <w:tcPr>
            <w:tcW w:w="1515" w:type="dxa"/>
            <w:tcBorders>
              <w:top w:val="single" w:color="auto" w:sz="4" w:space="0"/>
              <w:left w:val="single" w:color="auto" w:sz="4" w:space="0"/>
              <w:bottom w:val="single" w:color="auto" w:sz="4" w:space="0"/>
              <w:right w:val="single" w:color="auto" w:sz="4" w:space="0"/>
            </w:tcBorders>
            <w:vAlign w:val="center"/>
          </w:tcPr>
          <w:p w14:paraId="39935CB2">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是否允许</w:t>
            </w:r>
          </w:p>
          <w:p w14:paraId="6557EA42">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分包</w:t>
            </w:r>
          </w:p>
        </w:tc>
        <w:tc>
          <w:tcPr>
            <w:tcW w:w="6092" w:type="dxa"/>
            <w:tcBorders>
              <w:top w:val="single" w:color="auto" w:sz="4" w:space="0"/>
              <w:left w:val="single" w:color="auto" w:sz="4" w:space="0"/>
              <w:bottom w:val="single" w:color="auto" w:sz="4" w:space="0"/>
              <w:right w:val="single" w:color="auto" w:sz="4" w:space="0"/>
            </w:tcBorders>
            <w:vAlign w:val="center"/>
          </w:tcPr>
          <w:p w14:paraId="78C2DEC2">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否</w:t>
            </w:r>
          </w:p>
        </w:tc>
      </w:tr>
      <w:tr w14:paraId="6FD94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07E249E5">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2.1</w:t>
            </w:r>
          </w:p>
        </w:tc>
        <w:tc>
          <w:tcPr>
            <w:tcW w:w="1515" w:type="dxa"/>
            <w:tcBorders>
              <w:top w:val="single" w:color="auto" w:sz="4" w:space="0"/>
              <w:left w:val="single" w:color="auto" w:sz="4" w:space="0"/>
              <w:bottom w:val="single" w:color="auto" w:sz="4" w:space="0"/>
              <w:right w:val="single" w:color="auto" w:sz="4" w:space="0"/>
            </w:tcBorders>
            <w:vAlign w:val="center"/>
          </w:tcPr>
          <w:p w14:paraId="0F39864C">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构成招标文件的其他材料</w:t>
            </w:r>
          </w:p>
        </w:tc>
        <w:tc>
          <w:tcPr>
            <w:tcW w:w="6092" w:type="dxa"/>
            <w:tcBorders>
              <w:top w:val="single" w:color="auto" w:sz="4" w:space="0"/>
              <w:left w:val="single" w:color="auto" w:sz="4" w:space="0"/>
              <w:bottom w:val="single" w:color="auto" w:sz="4" w:space="0"/>
              <w:right w:val="single" w:color="auto" w:sz="4" w:space="0"/>
            </w:tcBorders>
            <w:vAlign w:val="center"/>
          </w:tcPr>
          <w:p w14:paraId="2CE1DC9D">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招标文件</w:t>
            </w:r>
            <w:r>
              <w:rPr>
                <w:rFonts w:hint="eastAsia" w:ascii="Times New Roman" w:hAnsi="Times New Roman" w:eastAsia="方正仿宋_GBK" w:cs="Times New Roman"/>
                <w:sz w:val="28"/>
                <w:szCs w:val="28"/>
              </w:rPr>
              <w:t>需修改或根据投标人提出的问题进行修改、澄清或答疑，招标人将在网上发出补遗通知，请投标人自行查阅和下载</w:t>
            </w:r>
            <w:r>
              <w:rPr>
                <w:rFonts w:ascii="Times New Roman" w:hAnsi="Times New Roman" w:eastAsia="方正仿宋_GBK" w:cs="Times New Roman"/>
                <w:sz w:val="28"/>
                <w:szCs w:val="28"/>
              </w:rPr>
              <w:t>。</w:t>
            </w:r>
          </w:p>
        </w:tc>
      </w:tr>
      <w:tr w14:paraId="60742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7D616AD0">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2.2</w:t>
            </w:r>
          </w:p>
        </w:tc>
        <w:tc>
          <w:tcPr>
            <w:tcW w:w="1515" w:type="dxa"/>
            <w:tcBorders>
              <w:top w:val="single" w:color="auto" w:sz="4" w:space="0"/>
              <w:left w:val="single" w:color="auto" w:sz="4" w:space="0"/>
              <w:bottom w:val="single" w:color="auto" w:sz="4" w:space="0"/>
              <w:right w:val="single" w:color="auto" w:sz="4" w:space="0"/>
            </w:tcBorders>
            <w:vAlign w:val="center"/>
          </w:tcPr>
          <w:p w14:paraId="1D4BA4C7">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对招标文件的疑问</w:t>
            </w:r>
          </w:p>
        </w:tc>
        <w:tc>
          <w:tcPr>
            <w:tcW w:w="6092" w:type="dxa"/>
            <w:tcBorders>
              <w:top w:val="single" w:color="auto" w:sz="4" w:space="0"/>
              <w:left w:val="single" w:color="auto" w:sz="4" w:space="0"/>
              <w:bottom w:val="single" w:color="auto" w:sz="4" w:space="0"/>
              <w:right w:val="single" w:color="auto" w:sz="4" w:space="0"/>
            </w:tcBorders>
            <w:vAlign w:val="center"/>
          </w:tcPr>
          <w:p w14:paraId="7DC6ECC1">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1.参与本项目的投标人对招标文件如有疑问的，应在规定时间内电话联系023-88968736，以书面形式提交质疑函并附上必要的证明材料。如在规定时间内没有提出疑问，视为完全理解并接受招标文件的所有内容</w:t>
            </w:r>
            <w:r>
              <w:rPr>
                <w:rFonts w:ascii="Times New Roman" w:hAnsi="Times New Roman" w:eastAsia="方正仿宋_GBK" w:cs="Times New Roman"/>
                <w:sz w:val="28"/>
                <w:szCs w:val="28"/>
              </w:rPr>
              <w:t>。</w:t>
            </w:r>
          </w:p>
          <w:p w14:paraId="53759223">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2.提出</w:t>
            </w:r>
            <w:r>
              <w:rPr>
                <w:rFonts w:hint="eastAsia" w:ascii="Times New Roman" w:hAnsi="Times New Roman" w:eastAsia="方正仿宋_GBK" w:cs="Times New Roman"/>
                <w:sz w:val="28"/>
                <w:szCs w:val="28"/>
              </w:rPr>
              <w:t>疑问的时间：2026年</w:t>
            </w:r>
            <w:r>
              <w:rPr>
                <w:rFonts w:hint="eastAsia" w:ascii="Times New Roman" w:hAnsi="Times New Roman" w:eastAsia="方正仿宋_GBK" w:cs="Times New Roman"/>
                <w:sz w:val="28"/>
                <w:szCs w:val="28"/>
                <w:lang w:val="en-US" w:eastAsia="zh-CN"/>
              </w:rPr>
              <w:t>3</w:t>
            </w:r>
            <w:r>
              <w:rPr>
                <w:rFonts w:hint="eastAsia" w:ascii="Times New Roman" w:hAnsi="Times New Roman" w:eastAsia="方正仿宋_GBK" w:cs="Times New Roman"/>
                <w:sz w:val="28"/>
                <w:szCs w:val="28"/>
              </w:rPr>
              <w:t>月</w:t>
            </w:r>
            <w:r>
              <w:rPr>
                <w:rFonts w:hint="eastAsia" w:ascii="Times New Roman" w:hAnsi="Times New Roman" w:eastAsia="方正仿宋_GBK" w:cs="Times New Roman"/>
                <w:sz w:val="28"/>
                <w:szCs w:val="28"/>
                <w:lang w:val="en-US" w:eastAsia="zh-CN"/>
              </w:rPr>
              <w:t>16</w:t>
            </w:r>
            <w:r>
              <w:rPr>
                <w:rFonts w:hint="eastAsia" w:ascii="Times New Roman" w:hAnsi="Times New Roman" w:eastAsia="方正仿宋_GBK" w:cs="Times New Roman"/>
                <w:sz w:val="28"/>
                <w:szCs w:val="28"/>
              </w:rPr>
              <w:t>日内</w:t>
            </w:r>
          </w:p>
        </w:tc>
      </w:tr>
      <w:tr w14:paraId="23DCF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280F1B4">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2.3</w:t>
            </w:r>
          </w:p>
        </w:tc>
        <w:tc>
          <w:tcPr>
            <w:tcW w:w="1515" w:type="dxa"/>
            <w:tcBorders>
              <w:top w:val="single" w:color="auto" w:sz="4" w:space="0"/>
              <w:left w:val="single" w:color="auto" w:sz="4" w:space="0"/>
              <w:bottom w:val="single" w:color="auto" w:sz="4" w:space="0"/>
              <w:right w:val="single" w:color="auto" w:sz="4" w:space="0"/>
            </w:tcBorders>
            <w:vAlign w:val="center"/>
          </w:tcPr>
          <w:p w14:paraId="07C57B0F">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招标文件的澄清、修改和答疑</w:t>
            </w:r>
          </w:p>
        </w:tc>
        <w:tc>
          <w:tcPr>
            <w:tcW w:w="6092" w:type="dxa"/>
            <w:tcBorders>
              <w:top w:val="single" w:color="auto" w:sz="4" w:space="0"/>
              <w:left w:val="single" w:color="auto" w:sz="4" w:space="0"/>
              <w:bottom w:val="single" w:color="auto" w:sz="4" w:space="0"/>
              <w:right w:val="single" w:color="auto" w:sz="4" w:space="0"/>
            </w:tcBorders>
            <w:vAlign w:val="center"/>
          </w:tcPr>
          <w:p w14:paraId="3E0E9ACF">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1.招标人对已发出的招标文件需要进行澄清、修改或对疑问作答的，将在重庆财经学院校园网（http://www.cfec.edu.cn）上发布。</w:t>
            </w:r>
          </w:p>
          <w:p w14:paraId="5155BF0E">
            <w:pPr>
              <w:spacing w:line="38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2.答疑发布时间：收到书面质疑后7个工作日内。</w:t>
            </w:r>
          </w:p>
          <w:p w14:paraId="53FCC9F7">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3.投标人自行登录重庆财经学院校园网（http://www.cfec.edu.cn）直接下载澄清、修改或对疑问作答的相关资料。不论投标人下载与否，招标人都视为投标人收到以上资料并全部知晓有关招标过程和事宜，由此产生的一切后果由投标人自负。</w:t>
            </w:r>
          </w:p>
        </w:tc>
      </w:tr>
      <w:tr w14:paraId="41D00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DF5154D">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3</w:t>
            </w:r>
          </w:p>
        </w:tc>
        <w:tc>
          <w:tcPr>
            <w:tcW w:w="1515" w:type="dxa"/>
            <w:tcBorders>
              <w:top w:val="single" w:color="auto" w:sz="4" w:space="0"/>
              <w:left w:val="single" w:color="auto" w:sz="4" w:space="0"/>
              <w:bottom w:val="single" w:color="auto" w:sz="4" w:space="0"/>
              <w:right w:val="single" w:color="auto" w:sz="4" w:space="0"/>
            </w:tcBorders>
            <w:vAlign w:val="center"/>
          </w:tcPr>
          <w:p w14:paraId="6E3F19B7">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投标文件</w:t>
            </w:r>
          </w:p>
        </w:tc>
        <w:tc>
          <w:tcPr>
            <w:tcW w:w="6092" w:type="dxa"/>
            <w:tcBorders>
              <w:top w:val="single" w:color="auto" w:sz="4" w:space="0"/>
              <w:left w:val="single" w:color="auto" w:sz="4" w:space="0"/>
              <w:bottom w:val="single" w:color="auto" w:sz="4" w:space="0"/>
              <w:right w:val="single" w:color="auto" w:sz="4" w:space="0"/>
            </w:tcBorders>
            <w:vAlign w:val="center"/>
          </w:tcPr>
          <w:p w14:paraId="05CA6D4E">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投标文件的组成和内容必须实质性响应招标文件的要求，否则将被拒绝。</w:t>
            </w:r>
          </w:p>
        </w:tc>
      </w:tr>
      <w:tr w14:paraId="6A7ED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555EFE2">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3.1.1</w:t>
            </w:r>
          </w:p>
        </w:tc>
        <w:tc>
          <w:tcPr>
            <w:tcW w:w="1515" w:type="dxa"/>
            <w:tcBorders>
              <w:top w:val="single" w:color="auto" w:sz="4" w:space="0"/>
              <w:left w:val="single" w:color="auto" w:sz="4" w:space="0"/>
              <w:bottom w:val="single" w:color="auto" w:sz="4" w:space="0"/>
              <w:right w:val="single" w:color="auto" w:sz="4" w:space="0"/>
            </w:tcBorders>
            <w:vAlign w:val="center"/>
          </w:tcPr>
          <w:p w14:paraId="2CE0AEC2">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投标文件的构成</w:t>
            </w:r>
          </w:p>
        </w:tc>
        <w:tc>
          <w:tcPr>
            <w:tcW w:w="6092" w:type="dxa"/>
            <w:tcBorders>
              <w:top w:val="single" w:color="auto" w:sz="4" w:space="0"/>
              <w:left w:val="single" w:color="auto" w:sz="4" w:space="0"/>
              <w:bottom w:val="single" w:color="auto" w:sz="4" w:space="0"/>
              <w:right w:val="single" w:color="auto" w:sz="4" w:space="0"/>
            </w:tcBorders>
            <w:vAlign w:val="center"/>
          </w:tcPr>
          <w:p w14:paraId="429D1368">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1.投标文件计量单位：采用国家法定计量单位（标准）；</w:t>
            </w:r>
          </w:p>
          <w:p w14:paraId="1EFE48D6">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2.投标文件的组成必须统一格式（见招标文件第五章内容）</w:t>
            </w:r>
          </w:p>
          <w:p w14:paraId="1C3CFB3B">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3.投标人的书面澄清、说明和补正（但不得改变投标文件的实质性内容）。</w:t>
            </w:r>
          </w:p>
        </w:tc>
      </w:tr>
      <w:tr w14:paraId="69ADC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1F047F66">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3.2.1</w:t>
            </w:r>
          </w:p>
        </w:tc>
        <w:tc>
          <w:tcPr>
            <w:tcW w:w="1515" w:type="dxa"/>
            <w:tcBorders>
              <w:top w:val="single" w:color="auto" w:sz="4" w:space="0"/>
              <w:left w:val="single" w:color="auto" w:sz="4" w:space="0"/>
              <w:bottom w:val="single" w:color="auto" w:sz="4" w:space="0"/>
              <w:right w:val="single" w:color="auto" w:sz="4" w:space="0"/>
            </w:tcBorders>
            <w:vAlign w:val="center"/>
          </w:tcPr>
          <w:p w14:paraId="0A98339D">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投标报价</w:t>
            </w:r>
          </w:p>
        </w:tc>
        <w:tc>
          <w:tcPr>
            <w:tcW w:w="6092" w:type="dxa"/>
            <w:tcBorders>
              <w:top w:val="single" w:color="auto" w:sz="4" w:space="0"/>
              <w:left w:val="single" w:color="auto" w:sz="4" w:space="0"/>
              <w:bottom w:val="single" w:color="auto" w:sz="4" w:space="0"/>
              <w:right w:val="single" w:color="auto" w:sz="4" w:space="0"/>
            </w:tcBorders>
            <w:vAlign w:val="center"/>
          </w:tcPr>
          <w:p w14:paraId="0C00D36C">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1. 投标人的投标报价应是本章投标人须知前附表1.3.1项中所述的全部内容的投标报价，如果有任何遗漏，均被视为投标人已经在其投标总价中考虑。</w:t>
            </w:r>
          </w:p>
          <w:p w14:paraId="52E85230">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投标报价须为人民币报价，总报价完全包含以下三个部分：</w:t>
            </w:r>
          </w:p>
          <w:p w14:paraId="35A5E218">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（1）货物价：货到使用人现场落地交货价。</w:t>
            </w:r>
          </w:p>
          <w:p w14:paraId="37DF775B">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（2）相关费用：包括附件、系统对接费、培训费、运杂费、配合费、保险费、设备安装费、安装材料费、辅助材料费、税费以及设备正常使用等需要的所有费用。</w:t>
            </w:r>
          </w:p>
          <w:p w14:paraId="445BBC39">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（3）免费质保内所需的费用：包含免费质保期内因产品质量问题引起的所有软件维护，以及技术人员上门服务等所有费用。</w:t>
            </w:r>
          </w:p>
        </w:tc>
      </w:tr>
      <w:tr w14:paraId="15777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A8EC2F4">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3.3.1</w:t>
            </w:r>
          </w:p>
        </w:tc>
        <w:tc>
          <w:tcPr>
            <w:tcW w:w="1515" w:type="dxa"/>
            <w:tcBorders>
              <w:top w:val="single" w:color="auto" w:sz="4" w:space="0"/>
              <w:left w:val="single" w:color="auto" w:sz="4" w:space="0"/>
              <w:bottom w:val="single" w:color="auto" w:sz="4" w:space="0"/>
              <w:right w:val="single" w:color="auto" w:sz="4" w:space="0"/>
            </w:tcBorders>
            <w:vAlign w:val="center"/>
          </w:tcPr>
          <w:p w14:paraId="61D9EAC6">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投标有效期</w:t>
            </w:r>
          </w:p>
        </w:tc>
        <w:tc>
          <w:tcPr>
            <w:tcW w:w="6092" w:type="dxa"/>
            <w:tcBorders>
              <w:top w:val="single" w:color="auto" w:sz="4" w:space="0"/>
              <w:left w:val="single" w:color="auto" w:sz="4" w:space="0"/>
              <w:bottom w:val="single" w:color="auto" w:sz="4" w:space="0"/>
              <w:right w:val="single" w:color="auto" w:sz="4" w:space="0"/>
            </w:tcBorders>
            <w:vAlign w:val="center"/>
          </w:tcPr>
          <w:p w14:paraId="0010897F">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90日历天（从递交投标文件截止日起计算）</w:t>
            </w:r>
          </w:p>
        </w:tc>
      </w:tr>
      <w:tr w14:paraId="13303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45A1B0A">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3.4.1</w:t>
            </w:r>
          </w:p>
        </w:tc>
        <w:tc>
          <w:tcPr>
            <w:tcW w:w="1515" w:type="dxa"/>
            <w:tcBorders>
              <w:top w:val="single" w:color="auto" w:sz="4" w:space="0"/>
              <w:left w:val="single" w:color="auto" w:sz="4" w:space="0"/>
              <w:bottom w:val="single" w:color="auto" w:sz="4" w:space="0"/>
              <w:right w:val="single" w:color="auto" w:sz="4" w:space="0"/>
            </w:tcBorders>
            <w:vAlign w:val="center"/>
          </w:tcPr>
          <w:p w14:paraId="2FCC0CC5">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投标保证金</w:t>
            </w:r>
          </w:p>
        </w:tc>
        <w:tc>
          <w:tcPr>
            <w:tcW w:w="6092" w:type="dxa"/>
            <w:tcBorders>
              <w:top w:val="single" w:color="auto" w:sz="4" w:space="0"/>
              <w:left w:val="single" w:color="auto" w:sz="4" w:space="0"/>
              <w:bottom w:val="single" w:color="auto" w:sz="4" w:space="0"/>
              <w:right w:val="single" w:color="auto" w:sz="4" w:space="0"/>
            </w:tcBorders>
            <w:vAlign w:val="center"/>
          </w:tcPr>
          <w:p w14:paraId="4A29DA8D">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见招标公告</w:t>
            </w:r>
          </w:p>
        </w:tc>
      </w:tr>
      <w:tr w14:paraId="07E2D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3B0683D9">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3.5.1</w:t>
            </w:r>
          </w:p>
        </w:tc>
        <w:tc>
          <w:tcPr>
            <w:tcW w:w="1515" w:type="dxa"/>
            <w:tcBorders>
              <w:top w:val="single" w:color="auto" w:sz="4" w:space="0"/>
              <w:left w:val="single" w:color="auto" w:sz="4" w:space="0"/>
              <w:bottom w:val="single" w:color="auto" w:sz="4" w:space="0"/>
              <w:right w:val="single" w:color="auto" w:sz="4" w:space="0"/>
            </w:tcBorders>
            <w:vAlign w:val="center"/>
          </w:tcPr>
          <w:p w14:paraId="03FCE770">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资格审查资料</w:t>
            </w:r>
          </w:p>
        </w:tc>
        <w:tc>
          <w:tcPr>
            <w:tcW w:w="6092" w:type="dxa"/>
            <w:tcBorders>
              <w:top w:val="single" w:color="auto" w:sz="4" w:space="0"/>
              <w:left w:val="single" w:color="auto" w:sz="4" w:space="0"/>
              <w:bottom w:val="single" w:color="auto" w:sz="4" w:space="0"/>
              <w:right w:val="single" w:color="auto" w:sz="4" w:space="0"/>
            </w:tcBorders>
            <w:vAlign w:val="center"/>
          </w:tcPr>
          <w:p w14:paraId="184771BB">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本须知前附表1.4.1条要求的相关资料复印件（需要加盖公章）即为审查内容；</w:t>
            </w:r>
          </w:p>
        </w:tc>
      </w:tr>
      <w:tr w14:paraId="70182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42CE170">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3.6</w:t>
            </w:r>
          </w:p>
        </w:tc>
        <w:tc>
          <w:tcPr>
            <w:tcW w:w="1515" w:type="dxa"/>
            <w:tcBorders>
              <w:top w:val="single" w:color="auto" w:sz="4" w:space="0"/>
              <w:left w:val="single" w:color="auto" w:sz="4" w:space="0"/>
              <w:bottom w:val="single" w:color="auto" w:sz="4" w:space="0"/>
              <w:right w:val="single" w:color="auto" w:sz="4" w:space="0"/>
            </w:tcBorders>
            <w:vAlign w:val="center"/>
          </w:tcPr>
          <w:p w14:paraId="68D13C02">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是否允许递交备选投标人案</w:t>
            </w:r>
          </w:p>
        </w:tc>
        <w:tc>
          <w:tcPr>
            <w:tcW w:w="6092" w:type="dxa"/>
            <w:tcBorders>
              <w:top w:val="single" w:color="auto" w:sz="4" w:space="0"/>
              <w:left w:val="single" w:color="auto" w:sz="4" w:space="0"/>
              <w:bottom w:val="single" w:color="auto" w:sz="4" w:space="0"/>
              <w:right w:val="single" w:color="auto" w:sz="4" w:space="0"/>
            </w:tcBorders>
            <w:vAlign w:val="center"/>
          </w:tcPr>
          <w:p w14:paraId="3DF80D04">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不允许</w:t>
            </w:r>
          </w:p>
        </w:tc>
      </w:tr>
      <w:tr w14:paraId="7DAA1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9DE1120">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3.7.3</w:t>
            </w:r>
          </w:p>
        </w:tc>
        <w:tc>
          <w:tcPr>
            <w:tcW w:w="1515" w:type="dxa"/>
            <w:tcBorders>
              <w:top w:val="single" w:color="auto" w:sz="4" w:space="0"/>
              <w:left w:val="single" w:color="auto" w:sz="4" w:space="0"/>
              <w:bottom w:val="single" w:color="auto" w:sz="4" w:space="0"/>
              <w:right w:val="single" w:color="auto" w:sz="4" w:space="0"/>
            </w:tcBorders>
            <w:vAlign w:val="center"/>
          </w:tcPr>
          <w:p w14:paraId="0743D82A">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签字盖章要求</w:t>
            </w:r>
          </w:p>
        </w:tc>
        <w:tc>
          <w:tcPr>
            <w:tcW w:w="6092" w:type="dxa"/>
            <w:tcBorders>
              <w:top w:val="single" w:color="auto" w:sz="4" w:space="0"/>
              <w:left w:val="single" w:color="auto" w:sz="4" w:space="0"/>
              <w:bottom w:val="single" w:color="auto" w:sz="4" w:space="0"/>
              <w:right w:val="single" w:color="auto" w:sz="4" w:space="0"/>
            </w:tcBorders>
            <w:vAlign w:val="center"/>
          </w:tcPr>
          <w:p w14:paraId="50C86713">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1.投标文件格式上要求签字盖章的地方，必须签字盖章；</w:t>
            </w:r>
          </w:p>
          <w:p w14:paraId="33271700">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2.所有涉及投标报价、承诺、保证等内容必须签字盖章。</w:t>
            </w:r>
          </w:p>
        </w:tc>
      </w:tr>
      <w:tr w14:paraId="61E10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0280F2E6">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3.7.4</w:t>
            </w:r>
          </w:p>
        </w:tc>
        <w:tc>
          <w:tcPr>
            <w:tcW w:w="1515" w:type="dxa"/>
            <w:tcBorders>
              <w:top w:val="single" w:color="auto" w:sz="4" w:space="0"/>
              <w:left w:val="single" w:color="auto" w:sz="4" w:space="0"/>
              <w:bottom w:val="single" w:color="auto" w:sz="4" w:space="0"/>
              <w:right w:val="single" w:color="auto" w:sz="4" w:space="0"/>
            </w:tcBorders>
            <w:vAlign w:val="center"/>
          </w:tcPr>
          <w:p w14:paraId="27F30E24">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投标文件份数</w:t>
            </w:r>
          </w:p>
        </w:tc>
        <w:tc>
          <w:tcPr>
            <w:tcW w:w="6092" w:type="dxa"/>
            <w:tcBorders>
              <w:top w:val="single" w:color="auto" w:sz="4" w:space="0"/>
              <w:left w:val="single" w:color="auto" w:sz="4" w:space="0"/>
              <w:bottom w:val="single" w:color="auto" w:sz="4" w:space="0"/>
              <w:right w:val="single" w:color="auto" w:sz="4" w:space="0"/>
            </w:tcBorders>
            <w:vAlign w:val="center"/>
          </w:tcPr>
          <w:p w14:paraId="3272317B">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正本1份、副本2份</w:t>
            </w:r>
          </w:p>
        </w:tc>
      </w:tr>
      <w:tr w14:paraId="685B6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0FF88A67">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3.7.5</w:t>
            </w:r>
          </w:p>
        </w:tc>
        <w:tc>
          <w:tcPr>
            <w:tcW w:w="1515" w:type="dxa"/>
            <w:tcBorders>
              <w:top w:val="single" w:color="auto" w:sz="4" w:space="0"/>
              <w:left w:val="single" w:color="auto" w:sz="4" w:space="0"/>
              <w:bottom w:val="single" w:color="auto" w:sz="4" w:space="0"/>
              <w:right w:val="single" w:color="auto" w:sz="4" w:space="0"/>
            </w:tcBorders>
            <w:vAlign w:val="center"/>
          </w:tcPr>
          <w:p w14:paraId="4CE248B7">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装订要求</w:t>
            </w:r>
          </w:p>
        </w:tc>
        <w:tc>
          <w:tcPr>
            <w:tcW w:w="6092" w:type="dxa"/>
            <w:tcBorders>
              <w:top w:val="single" w:color="auto" w:sz="4" w:space="0"/>
              <w:left w:val="single" w:color="auto" w:sz="4" w:space="0"/>
              <w:bottom w:val="single" w:color="auto" w:sz="4" w:space="0"/>
              <w:right w:val="single" w:color="auto" w:sz="4" w:space="0"/>
            </w:tcBorders>
            <w:vAlign w:val="center"/>
          </w:tcPr>
          <w:p w14:paraId="200C7045">
            <w:pPr>
              <w:spacing w:line="400" w:lineRule="exact"/>
              <w:jc w:val="left"/>
              <w:rPr>
                <w:rFonts w:ascii="Times New Roman" w:hAnsi="Times New Roman" w:eastAsia="方正仿宋_GBK" w:cs="Times New Roman"/>
                <w:sz w:val="28"/>
                <w:szCs w:val="28"/>
              </w:rPr>
            </w:pPr>
            <w:r>
              <w:rPr>
                <w:rFonts w:ascii="Times New Roman" w:hAnsi="Times New Roman" w:eastAsia="方正仿宋_GBK" w:cs="Times New Roman"/>
                <w:sz w:val="28"/>
                <w:szCs w:val="28"/>
              </w:rPr>
              <w:t>1.投标函</w:t>
            </w:r>
          </w:p>
          <w:p w14:paraId="183BCE1A">
            <w:pPr>
              <w:spacing w:line="400" w:lineRule="exact"/>
              <w:jc w:val="left"/>
              <w:rPr>
                <w:rFonts w:ascii="Times New Roman" w:hAnsi="Times New Roman" w:eastAsia="方正仿宋_GBK" w:cs="Times New Roman"/>
                <w:sz w:val="28"/>
                <w:szCs w:val="28"/>
              </w:rPr>
            </w:pPr>
            <w:r>
              <w:rPr>
                <w:rFonts w:ascii="Times New Roman" w:hAnsi="Times New Roman" w:eastAsia="方正仿宋_GBK" w:cs="Times New Roman"/>
                <w:sz w:val="28"/>
                <w:szCs w:val="28"/>
              </w:rPr>
              <w:t>2.法定代表人身份证明及授权委托书</w:t>
            </w:r>
          </w:p>
          <w:p w14:paraId="495E766A">
            <w:pPr>
              <w:spacing w:line="400" w:lineRule="exact"/>
              <w:jc w:val="left"/>
              <w:rPr>
                <w:rFonts w:ascii="Times New Roman" w:hAnsi="Times New Roman" w:eastAsia="方正仿宋_GBK" w:cs="Times New Roman"/>
                <w:sz w:val="28"/>
                <w:szCs w:val="28"/>
              </w:rPr>
            </w:pPr>
            <w:r>
              <w:rPr>
                <w:rFonts w:ascii="Times New Roman" w:hAnsi="Times New Roman" w:eastAsia="方正仿宋_GBK" w:cs="Times New Roman"/>
                <w:sz w:val="28"/>
                <w:szCs w:val="28"/>
              </w:rPr>
              <w:t>3.投标人基本情况表</w:t>
            </w:r>
          </w:p>
          <w:p w14:paraId="47F19879">
            <w:pPr>
              <w:spacing w:line="400" w:lineRule="exact"/>
              <w:jc w:val="left"/>
              <w:rPr>
                <w:rFonts w:ascii="Times New Roman" w:hAnsi="Times New Roman" w:eastAsia="方正仿宋_GBK" w:cs="Times New Roman"/>
                <w:sz w:val="28"/>
                <w:szCs w:val="28"/>
              </w:rPr>
            </w:pPr>
            <w:r>
              <w:rPr>
                <w:rFonts w:ascii="Times New Roman" w:hAnsi="Times New Roman" w:eastAsia="方正仿宋_GBK" w:cs="Times New Roman"/>
                <w:sz w:val="28"/>
                <w:szCs w:val="28"/>
              </w:rPr>
              <w:t>4.</w:t>
            </w:r>
            <w:r>
              <w:rPr>
                <w:rFonts w:hint="eastAsia" w:ascii="Times New Roman" w:hAnsi="Times New Roman" w:eastAsia="方正仿宋_GBK" w:cs="Times New Roman"/>
                <w:sz w:val="28"/>
                <w:szCs w:val="28"/>
              </w:rPr>
              <w:t>响应文件</w:t>
            </w:r>
          </w:p>
          <w:p w14:paraId="1A733D3D">
            <w:pPr>
              <w:spacing w:line="400" w:lineRule="exact"/>
              <w:jc w:val="left"/>
              <w:rPr>
                <w:rFonts w:ascii="Times New Roman" w:hAnsi="Times New Roman" w:eastAsia="方正仿宋_GBK" w:cs="Times New Roman"/>
                <w:sz w:val="28"/>
                <w:szCs w:val="28"/>
              </w:rPr>
            </w:pPr>
            <w:r>
              <w:rPr>
                <w:rFonts w:ascii="Times New Roman" w:hAnsi="Times New Roman" w:eastAsia="方正仿宋_GBK" w:cs="Times New Roman"/>
                <w:sz w:val="28"/>
                <w:szCs w:val="28"/>
              </w:rPr>
              <w:t>5.相关资质证明及承诺</w:t>
            </w:r>
          </w:p>
          <w:p w14:paraId="52011A7C">
            <w:pPr>
              <w:spacing w:line="400" w:lineRule="exact"/>
              <w:jc w:val="left"/>
              <w:rPr>
                <w:rFonts w:ascii="Times New Roman" w:hAnsi="Times New Roman" w:eastAsia="方正仿宋_GBK" w:cs="Times New Roman"/>
                <w:sz w:val="28"/>
                <w:szCs w:val="28"/>
              </w:rPr>
            </w:pPr>
            <w:r>
              <w:rPr>
                <w:rFonts w:ascii="Times New Roman" w:hAnsi="Times New Roman" w:eastAsia="方正仿宋_GBK" w:cs="Times New Roman"/>
                <w:sz w:val="28"/>
                <w:szCs w:val="28"/>
              </w:rPr>
              <w:t>6.售后服务</w:t>
            </w:r>
          </w:p>
          <w:p w14:paraId="0F61F246">
            <w:pPr>
              <w:spacing w:line="400" w:lineRule="exact"/>
              <w:jc w:val="left"/>
              <w:rPr>
                <w:rFonts w:ascii="Times New Roman" w:hAnsi="Times New Roman" w:eastAsia="方正仿宋_GBK" w:cs="Times New Roman"/>
                <w:sz w:val="28"/>
                <w:szCs w:val="28"/>
              </w:rPr>
            </w:pPr>
            <w:r>
              <w:rPr>
                <w:rFonts w:ascii="Times New Roman" w:hAnsi="Times New Roman" w:eastAsia="方正仿宋_GBK" w:cs="Times New Roman"/>
                <w:sz w:val="28"/>
                <w:szCs w:val="28"/>
              </w:rPr>
              <w:t>7.投标业绩一览表</w:t>
            </w:r>
          </w:p>
          <w:p w14:paraId="3B981822">
            <w:pPr>
              <w:spacing w:line="400" w:lineRule="exact"/>
              <w:jc w:val="left"/>
              <w:rPr>
                <w:rFonts w:ascii="Times New Roman" w:hAnsi="Times New Roman" w:eastAsia="方正仿宋_GBK" w:cs="Times New Roman"/>
                <w:sz w:val="28"/>
                <w:szCs w:val="28"/>
              </w:rPr>
            </w:pPr>
            <w:r>
              <w:rPr>
                <w:rFonts w:ascii="Times New Roman" w:hAnsi="Times New Roman" w:eastAsia="方正仿宋_GBK" w:cs="Times New Roman"/>
                <w:sz w:val="28"/>
                <w:szCs w:val="28"/>
              </w:rPr>
              <w:t>8.近</w:t>
            </w:r>
            <w:r>
              <w:rPr>
                <w:rFonts w:hint="eastAsia" w:ascii="Times New Roman" w:hAnsi="Times New Roman" w:eastAsia="方正仿宋_GBK" w:cs="Times New Roman"/>
                <w:sz w:val="28"/>
                <w:szCs w:val="28"/>
              </w:rPr>
              <w:t>三</w:t>
            </w:r>
            <w:r>
              <w:rPr>
                <w:rFonts w:ascii="Times New Roman" w:hAnsi="Times New Roman" w:eastAsia="方正仿宋_GBK" w:cs="Times New Roman"/>
                <w:sz w:val="28"/>
                <w:szCs w:val="28"/>
              </w:rPr>
              <w:t>年财务报表（包括资产负债表、利润表和现金流量表）</w:t>
            </w:r>
          </w:p>
          <w:p w14:paraId="53C253DE">
            <w:pPr>
              <w:spacing w:line="400" w:lineRule="exact"/>
              <w:jc w:val="lef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9.</w:t>
            </w:r>
            <w:r>
              <w:rPr>
                <w:rFonts w:ascii="Times New Roman" w:hAnsi="Times New Roman" w:eastAsia="方正仿宋_GBK" w:cs="Times New Roman"/>
                <w:sz w:val="28"/>
                <w:szCs w:val="28"/>
              </w:rPr>
              <w:t>近</w:t>
            </w:r>
            <w:r>
              <w:rPr>
                <w:rFonts w:hint="eastAsia" w:ascii="Times New Roman" w:hAnsi="Times New Roman" w:eastAsia="方正仿宋_GBK" w:cs="Times New Roman"/>
                <w:sz w:val="28"/>
                <w:szCs w:val="28"/>
              </w:rPr>
              <w:t>三</w:t>
            </w:r>
            <w:r>
              <w:rPr>
                <w:rFonts w:ascii="Times New Roman" w:hAnsi="Times New Roman" w:eastAsia="方正仿宋_GBK" w:cs="Times New Roman"/>
                <w:sz w:val="28"/>
                <w:szCs w:val="28"/>
              </w:rPr>
              <w:t>年</w:t>
            </w:r>
            <w:r>
              <w:rPr>
                <w:rFonts w:hint="eastAsia" w:ascii="Times New Roman" w:hAnsi="Times New Roman" w:eastAsia="方正仿宋_GBK" w:cs="Times New Roman"/>
                <w:sz w:val="28"/>
                <w:szCs w:val="28"/>
              </w:rPr>
              <w:t>纳税、社保证明</w:t>
            </w:r>
          </w:p>
          <w:p w14:paraId="33B89B36">
            <w:pPr>
              <w:spacing w:line="400" w:lineRule="exact"/>
              <w:jc w:val="lef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10.</w:t>
            </w:r>
            <w:r>
              <w:rPr>
                <w:rFonts w:ascii="Times New Roman" w:hAnsi="Times New Roman" w:eastAsia="方正仿宋_GBK" w:cs="Times New Roman"/>
                <w:sz w:val="28"/>
                <w:szCs w:val="28"/>
              </w:rPr>
              <w:t>近</w:t>
            </w:r>
            <w:r>
              <w:rPr>
                <w:rFonts w:hint="eastAsia" w:ascii="Times New Roman" w:hAnsi="Times New Roman" w:eastAsia="方正仿宋_GBK" w:cs="Times New Roman"/>
                <w:sz w:val="28"/>
                <w:szCs w:val="28"/>
              </w:rPr>
              <w:t>三</w:t>
            </w:r>
            <w:r>
              <w:rPr>
                <w:rFonts w:ascii="Times New Roman" w:hAnsi="Times New Roman" w:eastAsia="方正仿宋_GBK" w:cs="Times New Roman"/>
                <w:sz w:val="28"/>
                <w:szCs w:val="28"/>
              </w:rPr>
              <w:t>年</w:t>
            </w:r>
            <w:r>
              <w:rPr>
                <w:rFonts w:hint="eastAsia" w:ascii="Times New Roman" w:hAnsi="Times New Roman" w:eastAsia="方正仿宋_GBK" w:cs="Times New Roman"/>
                <w:sz w:val="28"/>
                <w:szCs w:val="28"/>
              </w:rPr>
              <w:t>官网诚信证明截图</w:t>
            </w:r>
          </w:p>
          <w:p w14:paraId="54E2ACBD">
            <w:pPr>
              <w:spacing w:line="400" w:lineRule="exact"/>
              <w:jc w:val="lef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11</w:t>
            </w:r>
            <w:r>
              <w:rPr>
                <w:rFonts w:ascii="Times New Roman" w:hAnsi="Times New Roman" w:eastAsia="方正仿宋_GBK" w:cs="Times New Roman"/>
                <w:sz w:val="28"/>
                <w:szCs w:val="28"/>
              </w:rPr>
              <w:t>.承诺函</w:t>
            </w:r>
          </w:p>
          <w:p w14:paraId="1709A714">
            <w:pPr>
              <w:spacing w:line="400" w:lineRule="exact"/>
              <w:jc w:val="lef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12.投标文件PDF格式的电子档U盘一份</w:t>
            </w:r>
          </w:p>
        </w:tc>
      </w:tr>
      <w:tr w14:paraId="6690A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16167D74">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4.1.1</w:t>
            </w:r>
          </w:p>
        </w:tc>
        <w:tc>
          <w:tcPr>
            <w:tcW w:w="1515" w:type="dxa"/>
            <w:tcBorders>
              <w:top w:val="single" w:color="auto" w:sz="4" w:space="0"/>
              <w:left w:val="single" w:color="auto" w:sz="4" w:space="0"/>
              <w:bottom w:val="single" w:color="auto" w:sz="4" w:space="0"/>
              <w:right w:val="single" w:color="auto" w:sz="4" w:space="0"/>
            </w:tcBorders>
            <w:vAlign w:val="center"/>
          </w:tcPr>
          <w:p w14:paraId="77D7923F">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投标文件的密封</w:t>
            </w:r>
          </w:p>
        </w:tc>
        <w:tc>
          <w:tcPr>
            <w:tcW w:w="6092" w:type="dxa"/>
            <w:tcBorders>
              <w:top w:val="single" w:color="auto" w:sz="4" w:space="0"/>
              <w:left w:val="single" w:color="auto" w:sz="4" w:space="0"/>
              <w:bottom w:val="single" w:color="auto" w:sz="4" w:space="0"/>
              <w:right w:val="single" w:color="auto" w:sz="4" w:space="0"/>
            </w:tcBorders>
            <w:vAlign w:val="center"/>
          </w:tcPr>
          <w:p w14:paraId="24126330">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1.使用投标文件袋</w:t>
            </w:r>
          </w:p>
          <w:p w14:paraId="7073FC48">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2.密封并在投标文件袋处加盖投标人单位章，同时投标文件大袋应按本表第4.1.2项的规定写明相应内容。</w:t>
            </w:r>
          </w:p>
          <w:p w14:paraId="2CA239D0">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3.如果投标文件大袋未按上述规定封装，招标人拒绝接收。</w:t>
            </w:r>
          </w:p>
        </w:tc>
      </w:tr>
      <w:tr w14:paraId="45BCC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56EA6E81">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4.1.2</w:t>
            </w:r>
          </w:p>
        </w:tc>
        <w:tc>
          <w:tcPr>
            <w:tcW w:w="1515" w:type="dxa"/>
            <w:tcBorders>
              <w:top w:val="single" w:color="auto" w:sz="4" w:space="0"/>
              <w:left w:val="single" w:color="auto" w:sz="4" w:space="0"/>
              <w:bottom w:val="single" w:color="auto" w:sz="4" w:space="0"/>
              <w:right w:val="single" w:color="auto" w:sz="4" w:space="0"/>
            </w:tcBorders>
            <w:vAlign w:val="center"/>
          </w:tcPr>
          <w:p w14:paraId="7A9E41EC">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封套上写明</w:t>
            </w:r>
          </w:p>
        </w:tc>
        <w:tc>
          <w:tcPr>
            <w:tcW w:w="6092" w:type="dxa"/>
            <w:tcBorders>
              <w:top w:val="single" w:color="auto" w:sz="4" w:space="0"/>
              <w:left w:val="single" w:color="auto" w:sz="4" w:space="0"/>
              <w:bottom w:val="single" w:color="auto" w:sz="4" w:space="0"/>
              <w:right w:val="single" w:color="auto" w:sz="4" w:space="0"/>
            </w:tcBorders>
            <w:vAlign w:val="center"/>
          </w:tcPr>
          <w:p w14:paraId="2453ECA1">
            <w:pPr>
              <w:spacing w:line="400" w:lineRule="exact"/>
              <w:rPr>
                <w:rFonts w:ascii="Times New Roman" w:hAnsi="Times New Roman" w:eastAsia="方正仿宋_GBK" w:cs="Times New Roman"/>
                <w:b/>
                <w:sz w:val="28"/>
                <w:szCs w:val="28"/>
              </w:rPr>
            </w:pPr>
            <w:r>
              <w:rPr>
                <w:rFonts w:ascii="Times New Roman" w:hAnsi="Times New Roman" w:eastAsia="方正仿宋_GBK" w:cs="Times New Roman"/>
                <w:sz w:val="28"/>
                <w:szCs w:val="28"/>
              </w:rPr>
              <w:t>项目名称：</w:t>
            </w:r>
            <w:r>
              <w:rPr>
                <w:rFonts w:hint="eastAsia" w:ascii="Times New Roman" w:hAnsi="Times New Roman" w:eastAsia="方正仿宋_GBK" w:cs="Times New Roman"/>
                <w:sz w:val="28"/>
                <w:szCs w:val="28"/>
              </w:rPr>
              <w:t>重庆财经学院人力资源管理与服务平台采购项目</w:t>
            </w:r>
          </w:p>
          <w:p w14:paraId="42A99390">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投标人名称：</w:t>
            </w:r>
            <w:r>
              <w:rPr>
                <w:rFonts w:ascii="Times New Roman" w:hAnsi="Times New Roman" w:eastAsia="方正仿宋_GBK" w:cs="Times New Roman"/>
                <w:sz w:val="28"/>
                <w:szCs w:val="28"/>
                <w:u w:val="single"/>
              </w:rPr>
              <w:t xml:space="preserve">             </w:t>
            </w:r>
            <w:r>
              <w:rPr>
                <w:rFonts w:ascii="Times New Roman" w:hAnsi="Times New Roman" w:eastAsia="方正仿宋_GBK" w:cs="Times New Roman"/>
                <w:sz w:val="28"/>
                <w:szCs w:val="28"/>
              </w:rPr>
              <w:t>（投标人盖章）</w:t>
            </w:r>
          </w:p>
          <w:p w14:paraId="7E8EC231">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 xml:space="preserve">投标文件 在开标前不得开启 </w:t>
            </w:r>
          </w:p>
        </w:tc>
      </w:tr>
      <w:tr w14:paraId="29DE1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865" w:type="dxa"/>
            <w:tcBorders>
              <w:top w:val="single" w:color="auto" w:sz="4" w:space="0"/>
              <w:left w:val="single" w:color="auto" w:sz="4" w:space="0"/>
              <w:bottom w:val="single" w:color="auto" w:sz="4" w:space="0"/>
              <w:right w:val="single" w:color="auto" w:sz="4" w:space="0"/>
            </w:tcBorders>
            <w:vAlign w:val="center"/>
          </w:tcPr>
          <w:p w14:paraId="76DA0D3B">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4.2.1</w:t>
            </w:r>
          </w:p>
        </w:tc>
        <w:tc>
          <w:tcPr>
            <w:tcW w:w="1515" w:type="dxa"/>
            <w:tcBorders>
              <w:top w:val="single" w:color="auto" w:sz="4" w:space="0"/>
              <w:left w:val="single" w:color="auto" w:sz="4" w:space="0"/>
              <w:bottom w:val="single" w:color="auto" w:sz="4" w:space="0"/>
              <w:right w:val="single" w:color="auto" w:sz="4" w:space="0"/>
            </w:tcBorders>
            <w:vAlign w:val="center"/>
          </w:tcPr>
          <w:p w14:paraId="263A79EF">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投标截止时间</w:t>
            </w:r>
          </w:p>
        </w:tc>
        <w:tc>
          <w:tcPr>
            <w:tcW w:w="6092" w:type="dxa"/>
            <w:tcBorders>
              <w:top w:val="single" w:color="auto" w:sz="4" w:space="0"/>
              <w:left w:val="single" w:color="auto" w:sz="4" w:space="0"/>
              <w:bottom w:val="single" w:color="auto" w:sz="4" w:space="0"/>
              <w:right w:val="single" w:color="auto" w:sz="4" w:space="0"/>
            </w:tcBorders>
            <w:vAlign w:val="center"/>
          </w:tcPr>
          <w:p w14:paraId="2C649613">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见招标公告</w:t>
            </w:r>
          </w:p>
        </w:tc>
      </w:tr>
      <w:tr w14:paraId="582F2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9577958">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4.2.2</w:t>
            </w:r>
          </w:p>
        </w:tc>
        <w:tc>
          <w:tcPr>
            <w:tcW w:w="1515" w:type="dxa"/>
            <w:tcBorders>
              <w:top w:val="single" w:color="auto" w:sz="4" w:space="0"/>
              <w:left w:val="single" w:color="auto" w:sz="4" w:space="0"/>
              <w:bottom w:val="single" w:color="auto" w:sz="4" w:space="0"/>
              <w:right w:val="single" w:color="auto" w:sz="4" w:space="0"/>
            </w:tcBorders>
            <w:vAlign w:val="center"/>
          </w:tcPr>
          <w:p w14:paraId="3BD70FF8">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递交投标文件地点</w:t>
            </w:r>
          </w:p>
        </w:tc>
        <w:tc>
          <w:tcPr>
            <w:tcW w:w="6092" w:type="dxa"/>
            <w:tcBorders>
              <w:top w:val="single" w:color="auto" w:sz="4" w:space="0"/>
              <w:left w:val="single" w:color="auto" w:sz="4" w:space="0"/>
              <w:bottom w:val="single" w:color="auto" w:sz="4" w:space="0"/>
              <w:right w:val="single" w:color="auto" w:sz="4" w:space="0"/>
            </w:tcBorders>
            <w:vAlign w:val="center"/>
          </w:tcPr>
          <w:p w14:paraId="448C5F41">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见投标时间截止公告</w:t>
            </w:r>
          </w:p>
        </w:tc>
      </w:tr>
      <w:tr w14:paraId="21F4F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452AC14">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4.2.3</w:t>
            </w:r>
          </w:p>
        </w:tc>
        <w:tc>
          <w:tcPr>
            <w:tcW w:w="1515" w:type="dxa"/>
            <w:tcBorders>
              <w:top w:val="single" w:color="auto" w:sz="4" w:space="0"/>
              <w:left w:val="single" w:color="auto" w:sz="4" w:space="0"/>
              <w:bottom w:val="single" w:color="auto" w:sz="4" w:space="0"/>
              <w:right w:val="single" w:color="auto" w:sz="4" w:space="0"/>
            </w:tcBorders>
            <w:vAlign w:val="center"/>
          </w:tcPr>
          <w:p w14:paraId="12A04632">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是否退还投标文件</w:t>
            </w:r>
          </w:p>
        </w:tc>
        <w:tc>
          <w:tcPr>
            <w:tcW w:w="6092" w:type="dxa"/>
            <w:tcBorders>
              <w:top w:val="single" w:color="auto" w:sz="4" w:space="0"/>
              <w:left w:val="single" w:color="auto" w:sz="4" w:space="0"/>
              <w:bottom w:val="single" w:color="auto" w:sz="4" w:space="0"/>
              <w:right w:val="single" w:color="auto" w:sz="4" w:space="0"/>
            </w:tcBorders>
            <w:vAlign w:val="center"/>
          </w:tcPr>
          <w:p w14:paraId="29B1B838">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否</w:t>
            </w:r>
          </w:p>
        </w:tc>
      </w:tr>
      <w:tr w14:paraId="5086E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EBAA4C7">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5</w:t>
            </w:r>
          </w:p>
        </w:tc>
        <w:tc>
          <w:tcPr>
            <w:tcW w:w="1515" w:type="dxa"/>
            <w:tcBorders>
              <w:top w:val="single" w:color="auto" w:sz="4" w:space="0"/>
              <w:left w:val="single" w:color="auto" w:sz="4" w:space="0"/>
              <w:bottom w:val="single" w:color="auto" w:sz="4" w:space="0"/>
              <w:right w:val="single" w:color="auto" w:sz="4" w:space="0"/>
            </w:tcBorders>
            <w:vAlign w:val="center"/>
          </w:tcPr>
          <w:p w14:paraId="69503C4F">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开标会</w:t>
            </w:r>
          </w:p>
        </w:tc>
        <w:tc>
          <w:tcPr>
            <w:tcW w:w="6092" w:type="dxa"/>
            <w:tcBorders>
              <w:top w:val="single" w:color="auto" w:sz="4" w:space="0"/>
              <w:left w:val="single" w:color="auto" w:sz="4" w:space="0"/>
              <w:bottom w:val="single" w:color="auto" w:sz="4" w:space="0"/>
              <w:right w:val="single" w:color="auto" w:sz="4" w:space="0"/>
            </w:tcBorders>
            <w:vAlign w:val="center"/>
          </w:tcPr>
          <w:p w14:paraId="4626909E">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开标会由重庆财经学院招</w:t>
            </w:r>
            <w:r>
              <w:rPr>
                <w:rFonts w:hint="eastAsia" w:ascii="Times New Roman" w:hAnsi="Times New Roman" w:eastAsia="方正仿宋_GBK" w:cs="Times New Roman"/>
                <w:sz w:val="28"/>
                <w:szCs w:val="28"/>
              </w:rPr>
              <w:t>采</w:t>
            </w:r>
            <w:r>
              <w:rPr>
                <w:rFonts w:ascii="Times New Roman" w:hAnsi="Times New Roman" w:eastAsia="方正仿宋_GBK" w:cs="Times New Roman"/>
                <w:sz w:val="28"/>
                <w:szCs w:val="28"/>
              </w:rPr>
              <w:t>办公室主持</w:t>
            </w:r>
          </w:p>
        </w:tc>
      </w:tr>
      <w:tr w14:paraId="50307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2AB11EC">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5.1</w:t>
            </w:r>
          </w:p>
        </w:tc>
        <w:tc>
          <w:tcPr>
            <w:tcW w:w="1515" w:type="dxa"/>
            <w:tcBorders>
              <w:top w:val="single" w:color="auto" w:sz="4" w:space="0"/>
              <w:left w:val="single" w:color="auto" w:sz="4" w:space="0"/>
              <w:bottom w:val="single" w:color="auto" w:sz="4" w:space="0"/>
              <w:right w:val="single" w:color="auto" w:sz="4" w:space="0"/>
            </w:tcBorders>
            <w:vAlign w:val="center"/>
          </w:tcPr>
          <w:p w14:paraId="57DB70A3">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开标时间和地点</w:t>
            </w:r>
          </w:p>
        </w:tc>
        <w:tc>
          <w:tcPr>
            <w:tcW w:w="6092" w:type="dxa"/>
            <w:tcBorders>
              <w:top w:val="single" w:color="auto" w:sz="4" w:space="0"/>
              <w:left w:val="single" w:color="auto" w:sz="4" w:space="0"/>
              <w:bottom w:val="single" w:color="auto" w:sz="4" w:space="0"/>
              <w:right w:val="single" w:color="auto" w:sz="4" w:space="0"/>
            </w:tcBorders>
            <w:vAlign w:val="center"/>
          </w:tcPr>
          <w:p w14:paraId="0D4CA3B1">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见投标时间截止公告</w:t>
            </w:r>
          </w:p>
        </w:tc>
      </w:tr>
      <w:tr w14:paraId="4C576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EF0021E">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6</w:t>
            </w:r>
          </w:p>
        </w:tc>
        <w:tc>
          <w:tcPr>
            <w:tcW w:w="1515" w:type="dxa"/>
            <w:tcBorders>
              <w:top w:val="single" w:color="auto" w:sz="4" w:space="0"/>
              <w:left w:val="single" w:color="auto" w:sz="4" w:space="0"/>
              <w:bottom w:val="single" w:color="auto" w:sz="4" w:space="0"/>
              <w:right w:val="single" w:color="auto" w:sz="4" w:space="0"/>
            </w:tcBorders>
            <w:vAlign w:val="center"/>
          </w:tcPr>
          <w:p w14:paraId="088E1909">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评标</w:t>
            </w:r>
          </w:p>
        </w:tc>
        <w:tc>
          <w:tcPr>
            <w:tcW w:w="6092" w:type="dxa"/>
            <w:tcBorders>
              <w:top w:val="single" w:color="auto" w:sz="4" w:space="0"/>
              <w:left w:val="single" w:color="auto" w:sz="4" w:space="0"/>
              <w:bottom w:val="single" w:color="auto" w:sz="4" w:space="0"/>
              <w:right w:val="single" w:color="auto" w:sz="4" w:space="0"/>
            </w:tcBorders>
            <w:vAlign w:val="center"/>
          </w:tcPr>
          <w:p w14:paraId="4E63238B">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本项目评标委员会按照本次招标文件要求进行评标</w:t>
            </w:r>
          </w:p>
        </w:tc>
      </w:tr>
      <w:tr w14:paraId="7452B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50AEFC37">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6.1</w:t>
            </w:r>
          </w:p>
        </w:tc>
        <w:tc>
          <w:tcPr>
            <w:tcW w:w="1515" w:type="dxa"/>
            <w:tcBorders>
              <w:top w:val="single" w:color="auto" w:sz="4" w:space="0"/>
              <w:left w:val="single" w:color="auto" w:sz="4" w:space="0"/>
              <w:bottom w:val="single" w:color="auto" w:sz="4" w:space="0"/>
              <w:right w:val="single" w:color="auto" w:sz="4" w:space="0"/>
            </w:tcBorders>
            <w:vAlign w:val="center"/>
          </w:tcPr>
          <w:p w14:paraId="640EA132">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评标委员会的组建</w:t>
            </w:r>
          </w:p>
        </w:tc>
        <w:tc>
          <w:tcPr>
            <w:tcW w:w="6092" w:type="dxa"/>
            <w:tcBorders>
              <w:top w:val="single" w:color="auto" w:sz="4" w:space="0"/>
              <w:left w:val="single" w:color="auto" w:sz="4" w:space="0"/>
              <w:bottom w:val="single" w:color="auto" w:sz="4" w:space="0"/>
              <w:right w:val="single" w:color="auto" w:sz="4" w:space="0"/>
            </w:tcBorders>
            <w:vAlign w:val="center"/>
          </w:tcPr>
          <w:p w14:paraId="204AE57D">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由招标人根据重庆财经学院</w:t>
            </w:r>
            <w:r>
              <w:rPr>
                <w:rFonts w:hint="eastAsia" w:ascii="Times New Roman" w:hAnsi="Times New Roman" w:eastAsia="方正仿宋_GBK" w:cs="Times New Roman"/>
                <w:sz w:val="28"/>
                <w:szCs w:val="28"/>
              </w:rPr>
              <w:t>招采</w:t>
            </w:r>
            <w:r>
              <w:rPr>
                <w:rFonts w:ascii="Times New Roman" w:hAnsi="Times New Roman" w:eastAsia="方正仿宋_GBK" w:cs="Times New Roman"/>
                <w:sz w:val="28"/>
                <w:szCs w:val="28"/>
              </w:rPr>
              <w:t>管理办法组建</w:t>
            </w:r>
          </w:p>
        </w:tc>
      </w:tr>
      <w:tr w14:paraId="64E5C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519879B">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7.1</w:t>
            </w:r>
          </w:p>
        </w:tc>
        <w:tc>
          <w:tcPr>
            <w:tcW w:w="1515" w:type="dxa"/>
            <w:tcBorders>
              <w:top w:val="single" w:color="auto" w:sz="4" w:space="0"/>
              <w:left w:val="single" w:color="auto" w:sz="4" w:space="0"/>
              <w:bottom w:val="single" w:color="auto" w:sz="4" w:space="0"/>
              <w:right w:val="single" w:color="auto" w:sz="4" w:space="0"/>
            </w:tcBorders>
            <w:vAlign w:val="center"/>
          </w:tcPr>
          <w:p w14:paraId="5F74194D">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是否授权评标委员会确定中标人</w:t>
            </w:r>
          </w:p>
        </w:tc>
        <w:tc>
          <w:tcPr>
            <w:tcW w:w="6092" w:type="dxa"/>
            <w:tcBorders>
              <w:top w:val="single" w:color="auto" w:sz="4" w:space="0"/>
              <w:left w:val="single" w:color="auto" w:sz="4" w:space="0"/>
              <w:bottom w:val="single" w:color="auto" w:sz="4" w:space="0"/>
              <w:right w:val="single" w:color="auto" w:sz="4" w:space="0"/>
            </w:tcBorders>
            <w:vAlign w:val="center"/>
          </w:tcPr>
          <w:p w14:paraId="03FB9091">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否，评标委员会按照由高到低的顺序依次推荐1～3名为中标候选人。</w:t>
            </w:r>
          </w:p>
        </w:tc>
      </w:tr>
      <w:tr w14:paraId="4E4CC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5ED91786">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8.1</w:t>
            </w:r>
          </w:p>
        </w:tc>
        <w:tc>
          <w:tcPr>
            <w:tcW w:w="1515" w:type="dxa"/>
            <w:tcBorders>
              <w:top w:val="single" w:color="auto" w:sz="4" w:space="0"/>
              <w:left w:val="single" w:color="auto" w:sz="4" w:space="0"/>
              <w:bottom w:val="single" w:color="auto" w:sz="4" w:space="0"/>
              <w:right w:val="single" w:color="auto" w:sz="4" w:space="0"/>
            </w:tcBorders>
            <w:vAlign w:val="center"/>
          </w:tcPr>
          <w:p w14:paraId="496867F0">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重新招标</w:t>
            </w:r>
          </w:p>
        </w:tc>
        <w:tc>
          <w:tcPr>
            <w:tcW w:w="6092" w:type="dxa"/>
            <w:tcBorders>
              <w:top w:val="single" w:color="auto" w:sz="4" w:space="0"/>
              <w:left w:val="single" w:color="auto" w:sz="4" w:space="0"/>
              <w:bottom w:val="single" w:color="auto" w:sz="4" w:space="0"/>
              <w:right w:val="single" w:color="auto" w:sz="4" w:space="0"/>
            </w:tcBorders>
            <w:vAlign w:val="center"/>
          </w:tcPr>
          <w:p w14:paraId="4568507B">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（1）按投标人须知第8.1.（2）执行；</w:t>
            </w:r>
          </w:p>
          <w:p w14:paraId="4DE466E9">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2）经评审后，如合格的投标人少于三个且评标委员会评定为仍具有竞争的，评标委员会可以继续进行评审，并按招标文件规定推荐中标候选人。如合格的投标人少于三个的，且明显缺乏竞争的，评标委员会可以否决全部投标，招标人将按照我校招</w:t>
            </w:r>
            <w:r>
              <w:rPr>
                <w:rFonts w:hint="eastAsia" w:ascii="Times New Roman" w:hAnsi="Times New Roman" w:eastAsia="方正仿宋_GBK" w:cs="Times New Roman"/>
                <w:sz w:val="28"/>
                <w:szCs w:val="28"/>
              </w:rPr>
              <w:t>采</w:t>
            </w:r>
            <w:r>
              <w:rPr>
                <w:rFonts w:ascii="Times New Roman" w:hAnsi="Times New Roman" w:eastAsia="方正仿宋_GBK" w:cs="Times New Roman"/>
                <w:sz w:val="28"/>
                <w:szCs w:val="28"/>
              </w:rPr>
              <w:t>管理办法的相关规定执行。</w:t>
            </w:r>
          </w:p>
        </w:tc>
      </w:tr>
      <w:tr w14:paraId="73C00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72426717">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9</w:t>
            </w:r>
          </w:p>
        </w:tc>
        <w:tc>
          <w:tcPr>
            <w:tcW w:w="7607" w:type="dxa"/>
            <w:gridSpan w:val="2"/>
            <w:tcBorders>
              <w:top w:val="single" w:color="auto" w:sz="4" w:space="0"/>
              <w:left w:val="single" w:color="auto" w:sz="4" w:space="0"/>
              <w:bottom w:val="single" w:color="auto" w:sz="4" w:space="0"/>
              <w:right w:val="single" w:color="auto" w:sz="4" w:space="0"/>
            </w:tcBorders>
            <w:vAlign w:val="center"/>
          </w:tcPr>
          <w:p w14:paraId="7879CD25">
            <w:pPr>
              <w:adjustRightInd w:val="0"/>
              <w:spacing w:line="400" w:lineRule="exact"/>
              <w:ind w:left="480"/>
              <w:jc w:val="center"/>
              <w:rPr>
                <w:rFonts w:ascii="Times New Roman" w:hAnsi="Times New Roman" w:eastAsia="方正仿宋_GBK" w:cs="Times New Roman"/>
                <w:b/>
                <w:sz w:val="28"/>
                <w:szCs w:val="28"/>
              </w:rPr>
            </w:pPr>
            <w:r>
              <w:rPr>
                <w:rFonts w:ascii="Times New Roman" w:hAnsi="Times New Roman" w:eastAsia="方正仿宋_GBK" w:cs="Times New Roman"/>
                <w:sz w:val="28"/>
                <w:szCs w:val="28"/>
              </w:rPr>
              <w:t>补充内容</w:t>
            </w:r>
          </w:p>
        </w:tc>
      </w:tr>
      <w:tr w14:paraId="2807C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88A7F2C">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9.1</w:t>
            </w:r>
          </w:p>
        </w:tc>
        <w:tc>
          <w:tcPr>
            <w:tcW w:w="7607" w:type="dxa"/>
            <w:gridSpan w:val="2"/>
            <w:tcBorders>
              <w:top w:val="single" w:color="auto" w:sz="4" w:space="0"/>
              <w:left w:val="single" w:color="auto" w:sz="4" w:space="0"/>
              <w:bottom w:val="single" w:color="auto" w:sz="4" w:space="0"/>
              <w:right w:val="single" w:color="auto" w:sz="4" w:space="0"/>
            </w:tcBorders>
            <w:vAlign w:val="center"/>
          </w:tcPr>
          <w:p w14:paraId="643D8AEE">
            <w:pPr>
              <w:spacing w:line="400" w:lineRule="exact"/>
              <w:jc w:val="left"/>
              <w:rPr>
                <w:rFonts w:ascii="Times New Roman" w:hAnsi="Times New Roman" w:eastAsia="方正仿宋_GBK" w:cs="Times New Roman"/>
                <w:sz w:val="28"/>
                <w:szCs w:val="28"/>
              </w:rPr>
            </w:pPr>
            <w:r>
              <w:rPr>
                <w:rFonts w:ascii="Times New Roman" w:hAnsi="Times New Roman" w:eastAsia="方正仿宋_GBK" w:cs="Times New Roman"/>
                <w:sz w:val="28"/>
                <w:szCs w:val="28"/>
              </w:rPr>
              <w:t>1.投标人收到中标通知</w:t>
            </w:r>
            <w:r>
              <w:rPr>
                <w:rFonts w:hint="eastAsia" w:ascii="Times New Roman" w:hAnsi="Times New Roman" w:eastAsia="方正仿宋_GBK" w:cs="Times New Roman"/>
                <w:sz w:val="28"/>
                <w:szCs w:val="28"/>
              </w:rPr>
              <w:t>书</w:t>
            </w:r>
            <w:r>
              <w:rPr>
                <w:rFonts w:ascii="Times New Roman" w:hAnsi="Times New Roman" w:eastAsia="方正仿宋_GBK" w:cs="Times New Roman"/>
                <w:sz w:val="28"/>
                <w:szCs w:val="28"/>
              </w:rPr>
              <w:t>3天后，</w:t>
            </w:r>
            <w:r>
              <w:rPr>
                <w:rFonts w:hint="eastAsia" w:ascii="Times New Roman" w:hAnsi="Times New Roman" w:eastAsia="方正仿宋_GBK" w:cs="Times New Roman"/>
                <w:bCs/>
                <w:sz w:val="28"/>
                <w:szCs w:val="28"/>
              </w:rPr>
              <w:t>投标保证金自动转为履约保证金，履约保证金按合同金额的10%收取，多退少补（无息）。</w:t>
            </w:r>
          </w:p>
        </w:tc>
      </w:tr>
      <w:tr w14:paraId="1E6CA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D2C93F9">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9.2</w:t>
            </w:r>
          </w:p>
        </w:tc>
        <w:tc>
          <w:tcPr>
            <w:tcW w:w="7607" w:type="dxa"/>
            <w:gridSpan w:val="2"/>
            <w:tcBorders>
              <w:top w:val="single" w:color="auto" w:sz="4" w:space="0"/>
              <w:left w:val="single" w:color="auto" w:sz="4" w:space="0"/>
              <w:bottom w:val="single" w:color="auto" w:sz="4" w:space="0"/>
              <w:right w:val="single" w:color="auto" w:sz="4" w:space="0"/>
            </w:tcBorders>
            <w:vAlign w:val="center"/>
          </w:tcPr>
          <w:p w14:paraId="4235A0F5">
            <w:pPr>
              <w:spacing w:line="400" w:lineRule="exact"/>
              <w:jc w:val="left"/>
              <w:rPr>
                <w:rFonts w:ascii="Times New Roman" w:hAnsi="Times New Roman" w:eastAsia="方正仿宋_GBK" w:cs="Times New Roman"/>
                <w:b/>
                <w:sz w:val="28"/>
                <w:szCs w:val="28"/>
              </w:rPr>
            </w:pPr>
            <w:r>
              <w:rPr>
                <w:rFonts w:ascii="Times New Roman" w:hAnsi="Times New Roman" w:eastAsia="方正仿宋_GBK" w:cs="Times New Roman"/>
                <w:sz w:val="28"/>
                <w:szCs w:val="28"/>
              </w:rPr>
              <w:t>本项目从签订合同起，中标方应按照招标方的要求将所提供的</w:t>
            </w:r>
            <w:r>
              <w:rPr>
                <w:rFonts w:hint="eastAsia" w:ascii="Times New Roman" w:hAnsi="Times New Roman" w:eastAsia="方正仿宋_GBK" w:cs="Times New Roman"/>
                <w:sz w:val="28"/>
                <w:szCs w:val="28"/>
              </w:rPr>
              <w:t>产品</w:t>
            </w:r>
            <w:r>
              <w:rPr>
                <w:rFonts w:ascii="Times New Roman" w:hAnsi="Times New Roman" w:eastAsia="方正仿宋_GBK" w:cs="Times New Roman"/>
                <w:sz w:val="28"/>
                <w:szCs w:val="28"/>
              </w:rPr>
              <w:t>安装到指定地点</w:t>
            </w:r>
            <w:r>
              <w:rPr>
                <w:rFonts w:hint="eastAsia" w:ascii="Times New Roman" w:hAnsi="Times New Roman" w:eastAsia="方正仿宋_GBK" w:cs="Times New Roman"/>
                <w:sz w:val="28"/>
                <w:szCs w:val="28"/>
              </w:rPr>
              <w:t>，并完成调试和培训工作</w:t>
            </w:r>
            <w:r>
              <w:rPr>
                <w:rFonts w:ascii="Times New Roman" w:hAnsi="Times New Roman" w:eastAsia="方正仿宋_GBK" w:cs="Times New Roman"/>
                <w:sz w:val="28"/>
                <w:szCs w:val="28"/>
              </w:rPr>
              <w:t>。若规定时间内中标方未能完成本项目，招标人有权不退还履约保证金并追究中标方的责任。</w:t>
            </w:r>
          </w:p>
        </w:tc>
      </w:tr>
      <w:tr w14:paraId="3A415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865" w:type="dxa"/>
            <w:tcBorders>
              <w:top w:val="single" w:color="auto" w:sz="4" w:space="0"/>
              <w:left w:val="single" w:color="auto" w:sz="4" w:space="0"/>
              <w:bottom w:val="single" w:color="auto" w:sz="4" w:space="0"/>
              <w:right w:val="single" w:color="auto" w:sz="4" w:space="0"/>
            </w:tcBorders>
            <w:vAlign w:val="center"/>
          </w:tcPr>
          <w:p w14:paraId="495930B2">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9.3</w:t>
            </w:r>
          </w:p>
        </w:tc>
        <w:tc>
          <w:tcPr>
            <w:tcW w:w="7607" w:type="dxa"/>
            <w:gridSpan w:val="2"/>
            <w:tcBorders>
              <w:top w:val="single" w:color="auto" w:sz="4" w:space="0"/>
              <w:left w:val="single" w:color="auto" w:sz="4" w:space="0"/>
              <w:bottom w:val="single" w:color="auto" w:sz="4" w:space="0"/>
              <w:right w:val="single" w:color="auto" w:sz="4" w:space="0"/>
            </w:tcBorders>
            <w:vAlign w:val="center"/>
          </w:tcPr>
          <w:p w14:paraId="6CA42F3F">
            <w:pPr>
              <w:adjustRightInd w:val="0"/>
              <w:spacing w:line="400" w:lineRule="exact"/>
              <w:jc w:val="left"/>
              <w:textAlignment w:val="baseline"/>
              <w:rPr>
                <w:rFonts w:ascii="Times New Roman" w:hAnsi="Times New Roman" w:eastAsia="方正仿宋_GBK" w:cs="Times New Roman"/>
                <w:bCs/>
                <w:sz w:val="28"/>
                <w:szCs w:val="28"/>
              </w:rPr>
            </w:pPr>
            <w:r>
              <w:rPr>
                <w:rFonts w:hint="eastAsia" w:ascii="Times New Roman" w:hAnsi="Times New Roman" w:eastAsia="方正仿宋_GBK" w:cs="Times New Roman"/>
                <w:b/>
                <w:sz w:val="28"/>
                <w:szCs w:val="28"/>
              </w:rPr>
              <w:t>付款条件：</w:t>
            </w:r>
            <w:r>
              <w:rPr>
                <w:rFonts w:hint="eastAsia" w:ascii="Times New Roman" w:hAnsi="Times New Roman" w:eastAsia="方正仿宋_GBK" w:cs="Times New Roman"/>
                <w:bCs/>
                <w:sz w:val="28"/>
                <w:szCs w:val="28"/>
              </w:rPr>
              <w:t>按合同要求所有软件（如有设备）安装、调试、培训完成后，根据付款方式规定的时间节点和验收要求，验收合格并履行完验收手续后，在支付第一笔合同款时，甲方通知乙方开具全额正规税务发票并同时提供汇款单位名称、帐号、开户行等。</w:t>
            </w:r>
          </w:p>
          <w:p w14:paraId="67250233">
            <w:pPr>
              <w:adjustRightInd w:val="0"/>
              <w:spacing w:line="400" w:lineRule="exact"/>
              <w:jc w:val="left"/>
              <w:textAlignment w:val="baseline"/>
              <w:rPr>
                <w:rFonts w:ascii="Times New Roman" w:hAnsi="Times New Roman" w:eastAsia="方正仿宋_GBK" w:cs="Times New Roman"/>
                <w:b/>
                <w:sz w:val="28"/>
                <w:szCs w:val="28"/>
              </w:rPr>
            </w:pPr>
            <w:r>
              <w:rPr>
                <w:rFonts w:hint="eastAsia" w:ascii="Times New Roman" w:hAnsi="Times New Roman" w:eastAsia="方正仿宋_GBK" w:cs="Times New Roman"/>
                <w:b/>
                <w:sz w:val="28"/>
                <w:szCs w:val="28"/>
              </w:rPr>
              <w:t>付款方式（最终以合同为准）</w:t>
            </w:r>
            <w:r>
              <w:rPr>
                <w:rFonts w:ascii="Times New Roman" w:hAnsi="Times New Roman" w:eastAsia="方正仿宋_GBK" w:cs="Times New Roman"/>
                <w:b/>
                <w:sz w:val="28"/>
                <w:szCs w:val="28"/>
              </w:rPr>
              <w:t>：</w:t>
            </w:r>
          </w:p>
          <w:p w14:paraId="0D851CE3">
            <w:pPr>
              <w:numPr>
                <w:ilvl w:val="0"/>
                <w:numId w:val="10"/>
              </w:numPr>
              <w:adjustRightInd w:val="0"/>
              <w:spacing w:line="400" w:lineRule="exact"/>
              <w:jc w:val="left"/>
              <w:textAlignment w:val="baseline"/>
              <w:rPr>
                <w:rFonts w:hint="eastAsia" w:ascii="Times New Roman" w:hAnsi="Times New Roman" w:eastAsia="方正仿宋_GBK" w:cs="Times New Roman"/>
                <w:b w:val="0"/>
                <w:bCs/>
                <w:color w:val="000000" w:themeColor="text1"/>
                <w:sz w:val="28"/>
                <w:szCs w:val="28"/>
              </w:rPr>
            </w:pPr>
            <w:r>
              <w:rPr>
                <w:rFonts w:hint="eastAsia" w:ascii="Times New Roman" w:hAnsi="Times New Roman" w:eastAsia="方正仿宋_GBK" w:cs="Times New Roman"/>
                <w:b w:val="0"/>
                <w:bCs/>
                <w:color w:val="000000" w:themeColor="text1"/>
                <w:sz w:val="28"/>
                <w:szCs w:val="28"/>
              </w:rPr>
              <w:t>系统稳定试运行半年并通过验收后支付合同金额的95%;</w:t>
            </w:r>
          </w:p>
          <w:p w14:paraId="001E329C">
            <w:pPr>
              <w:numPr>
                <w:ilvl w:val="0"/>
                <w:numId w:val="10"/>
              </w:numPr>
              <w:adjustRightInd w:val="0"/>
              <w:spacing w:line="400" w:lineRule="exact"/>
              <w:jc w:val="left"/>
              <w:textAlignment w:val="baseline"/>
              <w:rPr>
                <w:rFonts w:hint="eastAsia" w:ascii="Times New Roman" w:hAnsi="Times New Roman" w:eastAsia="方正仿宋_GBK" w:cs="Times New Roman"/>
                <w:b w:val="0"/>
                <w:bCs/>
                <w:color w:val="000000" w:themeColor="text1"/>
                <w:sz w:val="28"/>
                <w:szCs w:val="28"/>
              </w:rPr>
            </w:pPr>
            <w:r>
              <w:rPr>
                <w:rFonts w:hint="eastAsia" w:ascii="Times New Roman" w:hAnsi="Times New Roman" w:eastAsia="方正仿宋_GBK" w:cs="Times New Roman"/>
                <w:b w:val="0"/>
                <w:bCs/>
                <w:color w:val="000000" w:themeColor="text1"/>
                <w:sz w:val="28"/>
                <w:szCs w:val="28"/>
              </w:rPr>
              <w:t>质保期满，完成所有服务后，无息支付合同金额剩余的5%。</w:t>
            </w:r>
          </w:p>
        </w:tc>
      </w:tr>
    </w:tbl>
    <w:p w14:paraId="7792B14A">
      <w:pPr>
        <w:rPr>
          <w:rFonts w:ascii="Times New Roman" w:hAnsi="Times New Roman" w:eastAsia="方正楷体_GBK" w:cs="Times New Roman"/>
          <w:b/>
          <w:w w:val="99"/>
          <w:kern w:val="0"/>
          <w:sz w:val="32"/>
          <w:szCs w:val="32"/>
          <w:lang w:val="zh-CN"/>
        </w:rPr>
      </w:pPr>
    </w:p>
    <w:p w14:paraId="1F355C5D">
      <w:pPr>
        <w:jc w:val="left"/>
        <w:rPr>
          <w:rFonts w:ascii="Times New Roman" w:hAnsi="Times New Roman" w:eastAsia="方正楷体_GBK" w:cs="Times New Roman"/>
          <w:b/>
          <w:w w:val="99"/>
          <w:kern w:val="0"/>
          <w:sz w:val="21"/>
          <w:szCs w:val="21"/>
          <w:lang w:val="zh-CN"/>
        </w:rPr>
      </w:pPr>
      <w:r>
        <w:rPr>
          <w:rFonts w:ascii="Times New Roman" w:hAnsi="Times New Roman" w:eastAsia="方正楷体_GBK" w:cs="Times New Roman"/>
          <w:b/>
          <w:w w:val="99"/>
          <w:kern w:val="0"/>
          <w:sz w:val="21"/>
          <w:szCs w:val="21"/>
          <w:lang w:val="zh-CN"/>
        </w:rPr>
        <w:br w:type="page"/>
      </w:r>
      <w:bookmarkStart w:id="233" w:name="_GoBack"/>
      <w:bookmarkEnd w:id="233"/>
    </w:p>
    <w:p w14:paraId="51A85AA5">
      <w:pPr>
        <w:autoSpaceDE w:val="0"/>
        <w:autoSpaceDN w:val="0"/>
        <w:adjustRightInd w:val="0"/>
        <w:snapToGrid w:val="0"/>
        <w:spacing w:line="240" w:lineRule="exact"/>
        <w:ind w:firstLine="414" w:firstLineChars="200"/>
        <w:jc w:val="left"/>
        <w:outlineLvl w:val="1"/>
        <w:rPr>
          <w:rFonts w:ascii="Times New Roman" w:hAnsi="Times New Roman" w:eastAsia="方正楷体_GBK" w:cs="Times New Roman"/>
          <w:b/>
          <w:w w:val="99"/>
          <w:kern w:val="0"/>
          <w:sz w:val="21"/>
          <w:szCs w:val="21"/>
          <w:lang w:val="zh-CN"/>
        </w:rPr>
      </w:pPr>
      <w:r>
        <w:rPr>
          <w:rFonts w:ascii="Times New Roman" w:hAnsi="Times New Roman" w:eastAsia="方正楷体_GBK" w:cs="Times New Roman"/>
          <w:b/>
          <w:w w:val="99"/>
          <w:kern w:val="0"/>
          <w:sz w:val="21"/>
          <w:szCs w:val="21"/>
          <w:lang w:val="zh-CN"/>
        </w:rPr>
        <w:t>1</w:t>
      </w:r>
      <w:r>
        <w:rPr>
          <w:rFonts w:ascii="Times New Roman" w:hAnsi="Times New Roman" w:eastAsia="方正楷体_GBK" w:cs="Times New Roman"/>
          <w:b/>
          <w:w w:val="99"/>
          <w:kern w:val="0"/>
          <w:sz w:val="21"/>
          <w:szCs w:val="21"/>
        </w:rPr>
        <w:t>.</w:t>
      </w:r>
      <w:r>
        <w:rPr>
          <w:rFonts w:ascii="Times New Roman" w:hAnsi="Times New Roman" w:eastAsia="方正楷体_GBK" w:cs="Times New Roman"/>
          <w:b/>
          <w:w w:val="99"/>
          <w:kern w:val="0"/>
          <w:sz w:val="21"/>
          <w:szCs w:val="21"/>
          <w:lang w:val="zh-CN"/>
        </w:rPr>
        <w:t>总则</w:t>
      </w:r>
    </w:p>
    <w:p w14:paraId="42AA4209">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b/>
          <w:kern w:val="0"/>
          <w:sz w:val="21"/>
          <w:szCs w:val="21"/>
        </w:rPr>
      </w:pPr>
      <w:bookmarkStart w:id="6" w:name="_Toc531594736"/>
      <w:bookmarkStart w:id="7" w:name="_Toc334774165"/>
      <w:bookmarkStart w:id="8" w:name="_Toc12010"/>
      <w:r>
        <w:rPr>
          <w:rFonts w:ascii="Times New Roman" w:hAnsi="Times New Roman" w:eastAsia="方正仿宋_GBK" w:cs="Times New Roman"/>
          <w:b/>
          <w:kern w:val="0"/>
          <w:sz w:val="21"/>
          <w:szCs w:val="21"/>
        </w:rPr>
        <w:t>1.1 项目概况</w:t>
      </w:r>
      <w:bookmarkEnd w:id="6"/>
      <w:bookmarkEnd w:id="7"/>
      <w:bookmarkEnd w:id="8"/>
    </w:p>
    <w:p w14:paraId="18B421CC">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1.1.1 根据《中华人民共和国招标投标法》等有关法律、法规和规章的规定，对本项目货物采购及服务进行公开招标。</w:t>
      </w:r>
    </w:p>
    <w:p w14:paraId="5181505F">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1.1.2 本招标项目名称、项目地点：见投标人需知前附表。</w:t>
      </w:r>
    </w:p>
    <w:p w14:paraId="68F52E5E">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1.1.3 招标人名称、地址、联系方式：见投标人需知前附表。</w:t>
      </w:r>
    </w:p>
    <w:p w14:paraId="2100AE88">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b/>
          <w:kern w:val="0"/>
          <w:sz w:val="21"/>
          <w:szCs w:val="21"/>
        </w:rPr>
      </w:pPr>
      <w:bookmarkStart w:id="9" w:name="_Toc325636582"/>
      <w:bookmarkStart w:id="10" w:name="_Toc317863424"/>
      <w:bookmarkStart w:id="11" w:name="_Toc200513128"/>
      <w:bookmarkStart w:id="12" w:name="_Toc334774166"/>
      <w:bookmarkStart w:id="13" w:name="_Toc531594737"/>
      <w:bookmarkStart w:id="14" w:name="_Toc31904"/>
      <w:r>
        <w:rPr>
          <w:rFonts w:ascii="Times New Roman" w:hAnsi="Times New Roman" w:eastAsia="方正仿宋_GBK" w:cs="Times New Roman"/>
          <w:b/>
          <w:kern w:val="0"/>
          <w:sz w:val="21"/>
          <w:szCs w:val="21"/>
        </w:rPr>
        <w:t xml:space="preserve">1.2 </w:t>
      </w:r>
      <w:bookmarkEnd w:id="9"/>
      <w:bookmarkEnd w:id="10"/>
      <w:bookmarkEnd w:id="11"/>
      <w:r>
        <w:rPr>
          <w:rFonts w:ascii="Times New Roman" w:hAnsi="Times New Roman" w:eastAsia="方正仿宋_GBK" w:cs="Times New Roman"/>
          <w:b/>
          <w:kern w:val="0"/>
          <w:sz w:val="21"/>
          <w:szCs w:val="21"/>
        </w:rPr>
        <w:t>资金来源和落实情况</w:t>
      </w:r>
      <w:bookmarkEnd w:id="12"/>
      <w:bookmarkEnd w:id="13"/>
      <w:bookmarkEnd w:id="14"/>
    </w:p>
    <w:p w14:paraId="32345DD7">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1.2.1 本招标项目的资金来源：见投标人需知前附表。</w:t>
      </w:r>
    </w:p>
    <w:p w14:paraId="1E00D10E">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1.2.2 本招标项目的资金落实情况：见投标人需知前附表。</w:t>
      </w:r>
    </w:p>
    <w:p w14:paraId="2060D8A9">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b/>
          <w:kern w:val="0"/>
          <w:sz w:val="21"/>
          <w:szCs w:val="21"/>
        </w:rPr>
      </w:pPr>
      <w:bookmarkStart w:id="15" w:name="_Toc317863425"/>
      <w:bookmarkStart w:id="16" w:name="_Toc200513129"/>
      <w:bookmarkStart w:id="17" w:name="_Toc334774167"/>
      <w:bookmarkStart w:id="18" w:name="_Toc325636583"/>
      <w:bookmarkStart w:id="19" w:name="_Toc531594738"/>
      <w:bookmarkStart w:id="20" w:name="_Toc21275"/>
      <w:r>
        <w:rPr>
          <w:rFonts w:ascii="Times New Roman" w:hAnsi="Times New Roman" w:eastAsia="方正仿宋_GBK" w:cs="Times New Roman"/>
          <w:b/>
          <w:kern w:val="0"/>
          <w:sz w:val="21"/>
          <w:szCs w:val="21"/>
        </w:rPr>
        <w:t>1.3 招标</w:t>
      </w:r>
      <w:bookmarkEnd w:id="15"/>
      <w:bookmarkEnd w:id="16"/>
      <w:r>
        <w:rPr>
          <w:rFonts w:ascii="Times New Roman" w:hAnsi="Times New Roman" w:eastAsia="方正仿宋_GBK" w:cs="Times New Roman"/>
          <w:b/>
          <w:kern w:val="0"/>
          <w:sz w:val="21"/>
          <w:szCs w:val="21"/>
        </w:rPr>
        <w:t>内容</w:t>
      </w:r>
      <w:bookmarkEnd w:id="17"/>
      <w:bookmarkEnd w:id="18"/>
      <w:bookmarkEnd w:id="19"/>
      <w:bookmarkEnd w:id="20"/>
    </w:p>
    <w:p w14:paraId="3E648551">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1.3.1 本次招标范围：见投标人需知前附表。</w:t>
      </w:r>
    </w:p>
    <w:p w14:paraId="315B3790">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1.3.2 交货方式、交货时间：见投标人需知前附表。</w:t>
      </w:r>
    </w:p>
    <w:p w14:paraId="136F5F90">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1.3.3 伴随服务要求：见投标人需知前附表。</w:t>
      </w:r>
    </w:p>
    <w:p w14:paraId="32B1DF65">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1.3.4 质量保证期：见投标人需知前附表。</w:t>
      </w:r>
    </w:p>
    <w:p w14:paraId="6CD3F57D">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1.3.5 质量要求：见投标人需知前附表。</w:t>
      </w:r>
    </w:p>
    <w:p w14:paraId="1A7DA769">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1.3.6 售后服务：见投标人需知前附表。</w:t>
      </w:r>
    </w:p>
    <w:p w14:paraId="618C294E">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1.3.7 项目验收：见投标人需知前附表。</w:t>
      </w:r>
    </w:p>
    <w:p w14:paraId="59197E16">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b/>
          <w:bCs/>
          <w:kern w:val="0"/>
          <w:sz w:val="21"/>
          <w:szCs w:val="21"/>
        </w:rPr>
      </w:pPr>
      <w:bookmarkStart w:id="21" w:name="_Toc531594739"/>
      <w:bookmarkStart w:id="22" w:name="_Toc8901"/>
      <w:bookmarkStart w:id="23" w:name="_Toc325636584"/>
      <w:bookmarkStart w:id="24" w:name="_Toc334774168"/>
      <w:r>
        <w:rPr>
          <w:rFonts w:hint="eastAsia" w:ascii="Times New Roman" w:hAnsi="Times New Roman" w:eastAsia="方正仿宋_GBK" w:cs="Times New Roman"/>
          <w:b/>
          <w:bCs/>
          <w:kern w:val="0"/>
          <w:sz w:val="21"/>
          <w:szCs w:val="21"/>
        </w:rPr>
        <w:t>1.4 投标人资格要求</w:t>
      </w:r>
      <w:bookmarkEnd w:id="21"/>
      <w:bookmarkEnd w:id="22"/>
      <w:bookmarkEnd w:id="23"/>
      <w:bookmarkEnd w:id="24"/>
    </w:p>
    <w:p w14:paraId="4206E949">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hint="eastAsia" w:ascii="Times New Roman" w:hAnsi="Times New Roman" w:eastAsia="方正仿宋_GBK" w:cs="Times New Roman"/>
          <w:kern w:val="0"/>
          <w:sz w:val="21"/>
          <w:szCs w:val="21"/>
        </w:rPr>
        <w:t>1.4.1 投标人应具备承担本项目的资质条件、能力和信誉。</w:t>
      </w:r>
    </w:p>
    <w:p w14:paraId="1E306073">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hint="eastAsia" w:ascii="Times New Roman" w:hAnsi="Times New Roman" w:eastAsia="方正仿宋_GBK" w:cs="Times New Roman"/>
          <w:kern w:val="0"/>
          <w:sz w:val="21"/>
          <w:szCs w:val="21"/>
        </w:rPr>
        <w:t>1.4.2 本项目不接受联合体投标。</w:t>
      </w:r>
    </w:p>
    <w:p w14:paraId="40F0E7D4">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hint="eastAsia" w:ascii="Times New Roman" w:hAnsi="Times New Roman" w:eastAsia="方正仿宋_GBK" w:cs="Times New Roman"/>
          <w:kern w:val="0"/>
          <w:sz w:val="21"/>
          <w:szCs w:val="21"/>
        </w:rPr>
        <w:t>1.4.3 投标人不得存在下列情形之一：</w:t>
      </w:r>
    </w:p>
    <w:p w14:paraId="74FA97DD">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hint="eastAsia" w:ascii="Times New Roman" w:hAnsi="Times New Roman" w:eastAsia="方正仿宋_GBK" w:cs="Times New Roman"/>
          <w:kern w:val="0"/>
          <w:sz w:val="21"/>
          <w:szCs w:val="21"/>
        </w:rPr>
        <w:t>1.4.3.1 与国有资金投资或国家融资项目的招标人或招标代理机构有控股关系；</w:t>
      </w:r>
    </w:p>
    <w:p w14:paraId="4CA0F00C">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hint="eastAsia" w:ascii="Times New Roman" w:hAnsi="Times New Roman" w:eastAsia="方正仿宋_GBK" w:cs="Times New Roman"/>
          <w:kern w:val="0"/>
          <w:sz w:val="21"/>
          <w:szCs w:val="21"/>
        </w:rPr>
        <w:t>1.4.3.2 单位负责人为同一人或者存在控股、管理关系的不同单位，不得参加同一标段投标或者未划分标段的同一招标项目投标。</w:t>
      </w:r>
    </w:p>
    <w:p w14:paraId="5525D273">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hint="eastAsia" w:ascii="Times New Roman" w:hAnsi="Times New Roman" w:eastAsia="方正仿宋_GBK" w:cs="Times New Roman"/>
          <w:kern w:val="0"/>
          <w:sz w:val="21"/>
          <w:szCs w:val="21"/>
        </w:rPr>
        <w:t>1.4.3.3 为参加同一招标项目投标的其他投标人编制投标文件或提供咨询服务；</w:t>
      </w:r>
    </w:p>
    <w:p w14:paraId="27077AAB">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hint="eastAsia" w:ascii="Times New Roman" w:hAnsi="Times New Roman" w:eastAsia="方正仿宋_GBK" w:cs="Times New Roman"/>
          <w:kern w:val="0"/>
          <w:sz w:val="21"/>
          <w:szCs w:val="21"/>
        </w:rPr>
        <w:t>1.4.3.4 被有关行政部门暂停投标资格期限未满。</w:t>
      </w:r>
    </w:p>
    <w:p w14:paraId="64F9B362">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b/>
          <w:kern w:val="0"/>
          <w:sz w:val="21"/>
          <w:szCs w:val="21"/>
        </w:rPr>
      </w:pPr>
      <w:bookmarkStart w:id="25" w:name="_Toc200513132"/>
      <w:bookmarkStart w:id="26" w:name="_Toc531594740"/>
      <w:bookmarkStart w:id="27" w:name="_Toc334774169"/>
      <w:bookmarkStart w:id="28" w:name="_Toc17569"/>
      <w:bookmarkStart w:id="29" w:name="_Toc325636585"/>
      <w:bookmarkStart w:id="30" w:name="_Toc317863427"/>
      <w:r>
        <w:rPr>
          <w:rFonts w:ascii="Times New Roman" w:hAnsi="Times New Roman" w:eastAsia="方正仿宋_GBK" w:cs="Times New Roman"/>
          <w:b/>
          <w:kern w:val="0"/>
          <w:sz w:val="21"/>
          <w:szCs w:val="21"/>
        </w:rPr>
        <w:t>1.5 费用承担</w:t>
      </w:r>
      <w:bookmarkEnd w:id="25"/>
      <w:bookmarkEnd w:id="26"/>
      <w:bookmarkEnd w:id="27"/>
      <w:bookmarkEnd w:id="28"/>
      <w:bookmarkEnd w:id="29"/>
      <w:bookmarkEnd w:id="30"/>
    </w:p>
    <w:p w14:paraId="5A639875">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不论投标结果如何，投标人应自行承担其准备和参加本投标活动所涉及的一切费用。</w:t>
      </w:r>
    </w:p>
    <w:p w14:paraId="39DCA2E3">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b/>
          <w:kern w:val="0"/>
          <w:sz w:val="21"/>
          <w:szCs w:val="21"/>
        </w:rPr>
      </w:pPr>
      <w:bookmarkStart w:id="31" w:name="_Toc334774170"/>
      <w:bookmarkStart w:id="32" w:name="_Toc200513133"/>
      <w:bookmarkStart w:id="33" w:name="_Toc325636586"/>
      <w:bookmarkStart w:id="34" w:name="_Toc317863428"/>
      <w:r>
        <w:rPr>
          <w:rFonts w:ascii="Times New Roman" w:hAnsi="Times New Roman" w:eastAsia="方正仿宋_GBK" w:cs="Times New Roman"/>
          <w:b/>
          <w:kern w:val="0"/>
          <w:sz w:val="21"/>
          <w:szCs w:val="21"/>
        </w:rPr>
        <w:t>1.6 保密</w:t>
      </w:r>
      <w:bookmarkEnd w:id="31"/>
      <w:bookmarkEnd w:id="32"/>
      <w:bookmarkEnd w:id="33"/>
      <w:bookmarkEnd w:id="34"/>
    </w:p>
    <w:p w14:paraId="6061A4E5">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参与招标投标活动的各方应对招标文件和投标文件中的商业和技术等秘密保密，违者应对由此造成的后果承担法律责任。</w:t>
      </w:r>
    </w:p>
    <w:p w14:paraId="1CFFDB81">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b/>
          <w:kern w:val="0"/>
          <w:sz w:val="21"/>
          <w:szCs w:val="21"/>
        </w:rPr>
      </w:pPr>
      <w:bookmarkStart w:id="35" w:name="_Toc325636587"/>
      <w:bookmarkStart w:id="36" w:name="_Toc334774171"/>
      <w:bookmarkStart w:id="37" w:name="_Toc200513134"/>
      <w:bookmarkStart w:id="38" w:name="_Toc19952"/>
      <w:bookmarkStart w:id="39" w:name="_Toc317863429"/>
      <w:bookmarkStart w:id="40" w:name="_Toc531594741"/>
      <w:r>
        <w:rPr>
          <w:rFonts w:ascii="Times New Roman" w:hAnsi="Times New Roman" w:eastAsia="方正仿宋_GBK" w:cs="Times New Roman"/>
          <w:b/>
          <w:kern w:val="0"/>
          <w:sz w:val="21"/>
          <w:szCs w:val="21"/>
        </w:rPr>
        <w:t>1.7 语言文字</w:t>
      </w:r>
      <w:bookmarkEnd w:id="35"/>
      <w:bookmarkEnd w:id="36"/>
      <w:bookmarkEnd w:id="37"/>
      <w:bookmarkEnd w:id="38"/>
      <w:bookmarkEnd w:id="39"/>
      <w:bookmarkEnd w:id="40"/>
    </w:p>
    <w:p w14:paraId="1E94B670">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除专用术语外，与招标投标有关的语言均使用中文。必要时专用术语应附有中文注释。</w:t>
      </w:r>
    </w:p>
    <w:p w14:paraId="4A27A09B">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b/>
          <w:kern w:val="0"/>
          <w:sz w:val="21"/>
          <w:szCs w:val="21"/>
        </w:rPr>
      </w:pPr>
      <w:bookmarkStart w:id="41" w:name="_Toc334774172"/>
      <w:bookmarkStart w:id="42" w:name="_Toc531594742"/>
      <w:bookmarkStart w:id="43" w:name="_Toc200513135"/>
      <w:bookmarkStart w:id="44" w:name="_Toc325636588"/>
      <w:bookmarkStart w:id="45" w:name="_Toc317863430"/>
      <w:bookmarkStart w:id="46" w:name="_Toc16650"/>
      <w:r>
        <w:rPr>
          <w:rFonts w:ascii="Times New Roman" w:hAnsi="Times New Roman" w:eastAsia="方正仿宋_GBK" w:cs="Times New Roman"/>
          <w:b/>
          <w:kern w:val="0"/>
          <w:sz w:val="21"/>
          <w:szCs w:val="21"/>
        </w:rPr>
        <w:t>1.8 计量单位</w:t>
      </w:r>
      <w:bookmarkEnd w:id="41"/>
      <w:bookmarkEnd w:id="42"/>
      <w:bookmarkEnd w:id="43"/>
      <w:bookmarkEnd w:id="44"/>
      <w:bookmarkEnd w:id="45"/>
      <w:bookmarkEnd w:id="46"/>
    </w:p>
    <w:p w14:paraId="6D4943CE">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所有计量均采用中华人民共和国法定计量单位。</w:t>
      </w:r>
    </w:p>
    <w:p w14:paraId="2EBB2C73">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b/>
          <w:kern w:val="0"/>
          <w:sz w:val="21"/>
          <w:szCs w:val="21"/>
        </w:rPr>
      </w:pPr>
      <w:bookmarkStart w:id="47" w:name="_Toc317863431"/>
      <w:bookmarkStart w:id="48" w:name="_Toc531594743"/>
      <w:bookmarkStart w:id="49" w:name="_Toc26520"/>
      <w:bookmarkStart w:id="50" w:name="_Toc200513136"/>
      <w:bookmarkStart w:id="51" w:name="_Toc325636589"/>
      <w:bookmarkStart w:id="52" w:name="_Toc334774173"/>
      <w:r>
        <w:rPr>
          <w:rFonts w:ascii="Times New Roman" w:hAnsi="Times New Roman" w:eastAsia="方正仿宋_GBK" w:cs="Times New Roman"/>
          <w:b/>
          <w:kern w:val="0"/>
          <w:sz w:val="21"/>
          <w:szCs w:val="21"/>
        </w:rPr>
        <w:t>1.9 踏勘现场</w:t>
      </w:r>
      <w:bookmarkEnd w:id="47"/>
      <w:bookmarkEnd w:id="48"/>
      <w:bookmarkEnd w:id="49"/>
      <w:bookmarkEnd w:id="50"/>
      <w:bookmarkEnd w:id="51"/>
      <w:bookmarkEnd w:id="52"/>
    </w:p>
    <w:p w14:paraId="5DA4FFEF">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由投标人自行踏勘现场。</w:t>
      </w:r>
    </w:p>
    <w:p w14:paraId="1DFB4A98">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b/>
          <w:kern w:val="0"/>
          <w:sz w:val="21"/>
          <w:szCs w:val="21"/>
        </w:rPr>
      </w:pPr>
      <w:r>
        <w:rPr>
          <w:rFonts w:ascii="Times New Roman" w:hAnsi="Times New Roman" w:eastAsia="方正仿宋_GBK" w:cs="Times New Roman"/>
          <w:b/>
          <w:kern w:val="0"/>
          <w:sz w:val="21"/>
          <w:szCs w:val="21"/>
        </w:rPr>
        <w:t>1.10 投标预备会</w:t>
      </w:r>
    </w:p>
    <w:p w14:paraId="4C6969BB">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本项目不组织投标预备会。</w:t>
      </w:r>
    </w:p>
    <w:p w14:paraId="030A13D6">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b/>
          <w:kern w:val="0"/>
          <w:sz w:val="21"/>
          <w:szCs w:val="21"/>
        </w:rPr>
      </w:pPr>
      <w:bookmarkStart w:id="53" w:name="_Toc317863435"/>
      <w:bookmarkStart w:id="54" w:name="_Toc531594746"/>
      <w:bookmarkStart w:id="55" w:name="_Toc325636593"/>
      <w:bookmarkStart w:id="56" w:name="_Toc19903"/>
      <w:bookmarkStart w:id="57" w:name="_Toc334774176"/>
      <w:r>
        <w:rPr>
          <w:rFonts w:ascii="Times New Roman" w:hAnsi="Times New Roman" w:eastAsia="方正仿宋_GBK" w:cs="Times New Roman"/>
          <w:b/>
          <w:kern w:val="0"/>
          <w:sz w:val="21"/>
          <w:szCs w:val="21"/>
        </w:rPr>
        <w:t>1.11 偏离</w:t>
      </w:r>
      <w:bookmarkEnd w:id="53"/>
      <w:bookmarkEnd w:id="54"/>
      <w:bookmarkEnd w:id="55"/>
      <w:bookmarkEnd w:id="56"/>
      <w:bookmarkEnd w:id="57"/>
    </w:p>
    <w:p w14:paraId="34A7B79C">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投标人需知前附表允许投标文件偏离招标文件某些要求的，偏离应当符合招标文件规定的偏离范围和幅度。</w:t>
      </w:r>
    </w:p>
    <w:p w14:paraId="213B9E5D">
      <w:pPr>
        <w:autoSpaceDE w:val="0"/>
        <w:autoSpaceDN w:val="0"/>
        <w:adjustRightInd w:val="0"/>
        <w:snapToGrid w:val="0"/>
        <w:spacing w:line="240" w:lineRule="exact"/>
        <w:ind w:firstLine="414" w:firstLineChars="200"/>
        <w:jc w:val="left"/>
        <w:outlineLvl w:val="2"/>
        <w:rPr>
          <w:rFonts w:ascii="Times New Roman" w:hAnsi="Times New Roman" w:eastAsia="方正楷体_GBK" w:cs="Times New Roman"/>
          <w:b/>
          <w:w w:val="99"/>
          <w:kern w:val="0"/>
          <w:sz w:val="21"/>
          <w:szCs w:val="21"/>
          <w:lang w:val="zh-CN"/>
        </w:rPr>
      </w:pPr>
      <w:bookmarkStart w:id="58" w:name="_Toc531594747"/>
      <w:bookmarkStart w:id="59" w:name="_Toc334774177"/>
      <w:bookmarkStart w:id="60" w:name="_Toc317863436"/>
      <w:bookmarkStart w:id="61" w:name="_Toc200513140"/>
      <w:bookmarkStart w:id="62" w:name="_Toc778"/>
      <w:r>
        <w:rPr>
          <w:rFonts w:ascii="Times New Roman" w:hAnsi="Times New Roman" w:eastAsia="方正楷体_GBK" w:cs="Times New Roman"/>
          <w:b/>
          <w:w w:val="99"/>
          <w:kern w:val="0"/>
          <w:sz w:val="21"/>
          <w:szCs w:val="21"/>
          <w:lang w:val="zh-CN"/>
        </w:rPr>
        <w:t>2.招标文件</w:t>
      </w:r>
      <w:bookmarkEnd w:id="58"/>
      <w:bookmarkEnd w:id="59"/>
      <w:bookmarkEnd w:id="60"/>
      <w:bookmarkEnd w:id="61"/>
      <w:bookmarkEnd w:id="62"/>
    </w:p>
    <w:p w14:paraId="0737133B">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b/>
          <w:kern w:val="0"/>
          <w:sz w:val="21"/>
          <w:szCs w:val="21"/>
        </w:rPr>
      </w:pPr>
      <w:bookmarkStart w:id="63" w:name="_Toc200513141"/>
      <w:bookmarkStart w:id="64" w:name="_Toc334774178"/>
      <w:bookmarkStart w:id="65" w:name="_Toc325636595"/>
      <w:bookmarkStart w:id="66" w:name="_Toc32194"/>
      <w:bookmarkStart w:id="67" w:name="_Toc317863437"/>
      <w:bookmarkStart w:id="68" w:name="_Toc531594748"/>
      <w:r>
        <w:rPr>
          <w:rFonts w:ascii="Times New Roman" w:hAnsi="Times New Roman" w:eastAsia="方正仿宋_GBK" w:cs="Times New Roman"/>
          <w:b/>
          <w:kern w:val="0"/>
          <w:sz w:val="21"/>
          <w:szCs w:val="21"/>
        </w:rPr>
        <w:t>2.1 招标文件的组成</w:t>
      </w:r>
      <w:bookmarkEnd w:id="63"/>
      <w:bookmarkEnd w:id="64"/>
      <w:bookmarkEnd w:id="65"/>
      <w:bookmarkEnd w:id="66"/>
      <w:bookmarkEnd w:id="67"/>
      <w:bookmarkEnd w:id="68"/>
    </w:p>
    <w:p w14:paraId="66E96FCF">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本招标文件包括：</w:t>
      </w:r>
    </w:p>
    <w:p w14:paraId="24734CF1">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（1）招标公告；</w:t>
      </w:r>
    </w:p>
    <w:p w14:paraId="765B6CE0">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（2）投标人须知；</w:t>
      </w:r>
    </w:p>
    <w:p w14:paraId="382406A6">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（3）技术标准和要求；</w:t>
      </w:r>
    </w:p>
    <w:p w14:paraId="61C77E96">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（4）评标办法；</w:t>
      </w:r>
    </w:p>
    <w:p w14:paraId="3D503455">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（5）投标文件格式；</w:t>
      </w:r>
    </w:p>
    <w:p w14:paraId="48F473AD">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根据本章第1.10款、第2.2款和第2.3款对招标文件所作的澄清、修改，构成招标文件的组成部分。</w:t>
      </w:r>
    </w:p>
    <w:p w14:paraId="650682AC">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b/>
          <w:kern w:val="0"/>
          <w:sz w:val="21"/>
          <w:szCs w:val="21"/>
        </w:rPr>
      </w:pPr>
      <w:bookmarkStart w:id="69" w:name="_Toc317863438"/>
      <w:bookmarkStart w:id="70" w:name="_Toc325636596"/>
      <w:bookmarkStart w:id="71" w:name="_Toc200513142"/>
      <w:bookmarkStart w:id="72" w:name="_Toc334774179"/>
      <w:bookmarkStart w:id="73" w:name="_Toc531594749"/>
      <w:bookmarkStart w:id="74" w:name="_Toc13635"/>
      <w:r>
        <w:rPr>
          <w:rFonts w:ascii="Times New Roman" w:hAnsi="Times New Roman" w:eastAsia="方正仿宋_GBK" w:cs="Times New Roman"/>
          <w:b/>
          <w:kern w:val="0"/>
          <w:sz w:val="21"/>
          <w:szCs w:val="21"/>
        </w:rPr>
        <w:t xml:space="preserve">2.2 </w:t>
      </w:r>
      <w:bookmarkEnd w:id="69"/>
      <w:bookmarkEnd w:id="70"/>
      <w:bookmarkEnd w:id="71"/>
      <w:bookmarkEnd w:id="72"/>
      <w:r>
        <w:rPr>
          <w:rFonts w:ascii="Times New Roman" w:hAnsi="Times New Roman" w:eastAsia="方正仿宋_GBK" w:cs="Times New Roman"/>
          <w:b/>
          <w:kern w:val="0"/>
          <w:sz w:val="21"/>
          <w:szCs w:val="21"/>
        </w:rPr>
        <w:t>对招标文件的疑问</w:t>
      </w:r>
      <w:bookmarkEnd w:id="73"/>
      <w:bookmarkEnd w:id="74"/>
    </w:p>
    <w:p w14:paraId="45CFDD9F">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2.2.1投标人应仔细阅读和检查下载的招标文件的全部内容。如发现缺页或附件不全，应及时向招标人提出，以便补齐。如有疑问，应在投标人须知前附表规定的形式和时间前，通知并要求招标人对招标文件予以澄清。</w:t>
      </w:r>
    </w:p>
    <w:p w14:paraId="5275EE22">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b/>
          <w:kern w:val="0"/>
          <w:sz w:val="21"/>
          <w:szCs w:val="21"/>
        </w:rPr>
      </w:pPr>
      <w:bookmarkStart w:id="75" w:name="_Toc531594750"/>
      <w:bookmarkStart w:id="76" w:name="_Toc29041"/>
      <w:r>
        <w:rPr>
          <w:rFonts w:ascii="Times New Roman" w:hAnsi="Times New Roman" w:eastAsia="方正仿宋_GBK" w:cs="Times New Roman"/>
          <w:b/>
          <w:kern w:val="0"/>
          <w:sz w:val="21"/>
          <w:szCs w:val="21"/>
        </w:rPr>
        <w:t>2.3 招标文件的澄清、修改和答疑</w:t>
      </w:r>
      <w:bookmarkEnd w:id="75"/>
      <w:bookmarkEnd w:id="76"/>
    </w:p>
    <w:p w14:paraId="113D723C">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2.3.1 投标人如果有疑问，招标人以须知前附表规定的形式对招标文件澄清、修改和答疑，在重</w:t>
      </w:r>
      <w:r>
        <w:rPr>
          <w:rFonts w:hint="eastAsia" w:ascii="Times New Roman" w:hAnsi="Times New Roman" w:eastAsia="方正仿宋_GBK" w:cs="Times New Roman"/>
          <w:kern w:val="0"/>
          <w:sz w:val="21"/>
          <w:szCs w:val="21"/>
        </w:rPr>
        <w:t>庆</w:t>
      </w:r>
      <w:r>
        <w:rPr>
          <w:rFonts w:ascii="Times New Roman" w:hAnsi="Times New Roman" w:eastAsia="方正仿宋_GBK" w:cs="Times New Roman"/>
          <w:kern w:val="0"/>
          <w:sz w:val="21"/>
          <w:szCs w:val="21"/>
        </w:rPr>
        <w:t>财经学院校园网（http://www.cfec.edu.cn）发出通知或答疑通知；投标人应时刻在网上相应地方查寻通知、修改、答疑等信息，如果投标人疏忽大意，其后果自负。如果澄清、修改和答疑的时间距投标截止时间不足1天，经有关部门同意后通知相应延长投标截止时间。</w:t>
      </w:r>
    </w:p>
    <w:p w14:paraId="7D542024">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2.3.2 投标人网上收到答疑、修改通知后，应按照内容执行，不必确认已收到该修改。</w:t>
      </w:r>
    </w:p>
    <w:p w14:paraId="1F61F5B3">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b/>
          <w:bCs/>
          <w:kern w:val="0"/>
          <w:sz w:val="21"/>
          <w:szCs w:val="21"/>
          <w:lang w:val="zh-CN"/>
        </w:rPr>
      </w:pPr>
      <w:bookmarkStart w:id="77" w:name="_Toc18374"/>
      <w:bookmarkStart w:id="78" w:name="_Toc531594751"/>
      <w:r>
        <w:rPr>
          <w:rFonts w:hint="eastAsia" w:ascii="Times New Roman" w:hAnsi="Times New Roman" w:eastAsia="方正仿宋_GBK" w:cs="Times New Roman"/>
          <w:b/>
          <w:bCs/>
          <w:kern w:val="0"/>
          <w:sz w:val="21"/>
          <w:szCs w:val="21"/>
          <w:lang w:val="zh-CN"/>
        </w:rPr>
        <w:t>3.投标文件</w:t>
      </w:r>
      <w:bookmarkEnd w:id="77"/>
      <w:bookmarkEnd w:id="78"/>
    </w:p>
    <w:p w14:paraId="2D53A674">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b/>
          <w:bCs/>
          <w:kern w:val="0"/>
          <w:sz w:val="21"/>
          <w:szCs w:val="21"/>
        </w:rPr>
      </w:pPr>
      <w:bookmarkStart w:id="79" w:name="_Toc334774182"/>
      <w:bookmarkStart w:id="80" w:name="_Toc317863441"/>
      <w:bookmarkStart w:id="81" w:name="_Toc325636599"/>
      <w:bookmarkStart w:id="82" w:name="_Toc531594752"/>
      <w:bookmarkStart w:id="83" w:name="_Toc19286"/>
      <w:bookmarkStart w:id="84" w:name="_Toc200513145"/>
      <w:r>
        <w:rPr>
          <w:rFonts w:hint="eastAsia" w:ascii="Times New Roman" w:hAnsi="Times New Roman" w:eastAsia="方正仿宋_GBK" w:cs="Times New Roman"/>
          <w:b/>
          <w:bCs/>
          <w:kern w:val="0"/>
          <w:sz w:val="21"/>
          <w:szCs w:val="21"/>
        </w:rPr>
        <w:t>3.1 投标文件的组成</w:t>
      </w:r>
      <w:bookmarkEnd w:id="79"/>
      <w:bookmarkEnd w:id="80"/>
      <w:bookmarkEnd w:id="81"/>
      <w:bookmarkEnd w:id="82"/>
      <w:bookmarkEnd w:id="83"/>
      <w:bookmarkEnd w:id="84"/>
    </w:p>
    <w:p w14:paraId="1735B105">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hint="eastAsia" w:ascii="Times New Roman" w:hAnsi="Times New Roman" w:eastAsia="方正仿宋_GBK" w:cs="Times New Roman"/>
          <w:kern w:val="0"/>
          <w:sz w:val="21"/>
          <w:szCs w:val="21"/>
        </w:rPr>
        <w:t>3.1.1 投标函</w:t>
      </w:r>
    </w:p>
    <w:p w14:paraId="01D4D5BA">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hint="eastAsia" w:ascii="Times New Roman" w:hAnsi="Times New Roman" w:eastAsia="方正仿宋_GBK" w:cs="Times New Roman"/>
          <w:kern w:val="0"/>
          <w:sz w:val="21"/>
          <w:szCs w:val="21"/>
        </w:rPr>
        <w:t>3.1.2 法定代表人身份证明及授权委托书</w:t>
      </w:r>
    </w:p>
    <w:p w14:paraId="5D17E9EE">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hint="eastAsia" w:ascii="Times New Roman" w:hAnsi="Times New Roman" w:eastAsia="方正仿宋_GBK" w:cs="Times New Roman"/>
          <w:kern w:val="0"/>
          <w:sz w:val="21"/>
          <w:szCs w:val="21"/>
        </w:rPr>
        <w:t>3.1.3 投标人基本情况表</w:t>
      </w:r>
    </w:p>
    <w:p w14:paraId="7976337D">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hint="eastAsia" w:ascii="Times New Roman" w:hAnsi="Times New Roman" w:eastAsia="方正仿宋_GBK" w:cs="Times New Roman"/>
          <w:kern w:val="0"/>
          <w:sz w:val="21"/>
          <w:szCs w:val="21"/>
        </w:rPr>
        <w:t>3.1.4 响应文件</w:t>
      </w:r>
    </w:p>
    <w:p w14:paraId="46A2460F">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hint="eastAsia" w:ascii="Times New Roman" w:hAnsi="Times New Roman" w:eastAsia="方正仿宋_GBK" w:cs="Times New Roman"/>
          <w:kern w:val="0"/>
          <w:sz w:val="21"/>
          <w:szCs w:val="21"/>
        </w:rPr>
        <w:t>3.1.5 相关资质证明及承诺</w:t>
      </w:r>
    </w:p>
    <w:p w14:paraId="5A668CD5">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hint="eastAsia" w:ascii="Times New Roman" w:hAnsi="Times New Roman" w:eastAsia="方正仿宋_GBK" w:cs="Times New Roman"/>
          <w:kern w:val="0"/>
          <w:sz w:val="21"/>
          <w:szCs w:val="21"/>
        </w:rPr>
        <w:t>3.1.6 售后服务</w:t>
      </w:r>
    </w:p>
    <w:p w14:paraId="2B35A9FC">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hint="eastAsia" w:ascii="Times New Roman" w:hAnsi="Times New Roman" w:eastAsia="方正仿宋_GBK" w:cs="Times New Roman"/>
          <w:kern w:val="0"/>
          <w:sz w:val="21"/>
          <w:szCs w:val="21"/>
        </w:rPr>
        <w:t>3.1.7 投标业绩一览表</w:t>
      </w:r>
    </w:p>
    <w:p w14:paraId="23CC5901">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hint="eastAsia" w:ascii="Times New Roman" w:hAnsi="Times New Roman" w:eastAsia="方正仿宋_GBK" w:cs="Times New Roman"/>
          <w:kern w:val="0"/>
          <w:sz w:val="21"/>
          <w:szCs w:val="21"/>
        </w:rPr>
        <w:t>3.1.8 近三年财务报表（包括资产负债表、利润表和现金流量表）</w:t>
      </w:r>
    </w:p>
    <w:p w14:paraId="21ECDF0D">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hint="eastAsia" w:ascii="Times New Roman" w:hAnsi="Times New Roman" w:eastAsia="方正仿宋_GBK" w:cs="Times New Roman"/>
          <w:kern w:val="0"/>
          <w:sz w:val="21"/>
          <w:szCs w:val="21"/>
        </w:rPr>
        <w:t>3.1.9 近三年纳税、社保缴纳证明</w:t>
      </w:r>
    </w:p>
    <w:p w14:paraId="69D38D0E">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hint="eastAsia" w:ascii="Times New Roman" w:hAnsi="Times New Roman" w:eastAsia="方正仿宋_GBK" w:cs="Times New Roman"/>
          <w:kern w:val="0"/>
          <w:sz w:val="21"/>
          <w:szCs w:val="21"/>
        </w:rPr>
        <w:t>3.1.10 近三年官网诚信证明截图</w:t>
      </w:r>
    </w:p>
    <w:p w14:paraId="7FD88DAE">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hint="eastAsia" w:ascii="Times New Roman" w:hAnsi="Times New Roman" w:eastAsia="方正仿宋_GBK" w:cs="Times New Roman"/>
          <w:kern w:val="0"/>
          <w:sz w:val="21"/>
          <w:szCs w:val="21"/>
        </w:rPr>
        <w:t>3.1.11 承诺函</w:t>
      </w:r>
    </w:p>
    <w:p w14:paraId="1C3E38EF">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hint="eastAsia" w:ascii="Times New Roman" w:hAnsi="Times New Roman" w:eastAsia="方正仿宋_GBK" w:cs="Times New Roman"/>
          <w:kern w:val="0"/>
          <w:sz w:val="21"/>
          <w:szCs w:val="21"/>
        </w:rPr>
        <w:t>3.1.12 投标文件PDF格式的电子档U盘一份</w:t>
      </w:r>
    </w:p>
    <w:p w14:paraId="057CE398">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b/>
          <w:kern w:val="0"/>
          <w:sz w:val="21"/>
          <w:szCs w:val="21"/>
        </w:rPr>
      </w:pPr>
      <w:r>
        <w:rPr>
          <w:rFonts w:ascii="Times New Roman" w:hAnsi="Times New Roman" w:eastAsia="方正仿宋_GBK" w:cs="Times New Roman"/>
          <w:b/>
          <w:kern w:val="0"/>
          <w:sz w:val="21"/>
          <w:szCs w:val="21"/>
        </w:rPr>
        <w:t>3.2 投标报价</w:t>
      </w:r>
    </w:p>
    <w:p w14:paraId="2333E9E7">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3.2.1 投标人应按投标人须知前附表及其相关规定填报。</w:t>
      </w:r>
    </w:p>
    <w:p w14:paraId="19A118CA">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b/>
          <w:kern w:val="0"/>
          <w:sz w:val="21"/>
          <w:szCs w:val="21"/>
        </w:rPr>
      </w:pPr>
      <w:bookmarkStart w:id="85" w:name="_Toc200513147"/>
      <w:bookmarkStart w:id="86" w:name="_Toc317863443"/>
      <w:bookmarkStart w:id="87" w:name="_Toc531594754"/>
      <w:bookmarkStart w:id="88" w:name="_Toc325636601"/>
      <w:bookmarkStart w:id="89" w:name="_Toc12196"/>
      <w:bookmarkStart w:id="90" w:name="_Toc334774184"/>
      <w:r>
        <w:rPr>
          <w:rFonts w:ascii="Times New Roman" w:hAnsi="Times New Roman" w:eastAsia="方正仿宋_GBK" w:cs="Times New Roman"/>
          <w:b/>
          <w:kern w:val="0"/>
          <w:sz w:val="21"/>
          <w:szCs w:val="21"/>
        </w:rPr>
        <w:t>3.3 投标有效期</w:t>
      </w:r>
      <w:bookmarkEnd w:id="85"/>
      <w:bookmarkEnd w:id="86"/>
      <w:bookmarkEnd w:id="87"/>
      <w:bookmarkEnd w:id="88"/>
      <w:bookmarkEnd w:id="89"/>
      <w:bookmarkEnd w:id="90"/>
    </w:p>
    <w:p w14:paraId="5440B700">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3.3.1 在投标人须知前附表规定的投标有效期内，投标人不得要求撤销或修改其投标文件。</w:t>
      </w:r>
    </w:p>
    <w:p w14:paraId="51B96EFD">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3.3.2 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14:paraId="51E3C0A4">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b/>
          <w:kern w:val="0"/>
          <w:sz w:val="21"/>
          <w:szCs w:val="21"/>
        </w:rPr>
      </w:pPr>
      <w:bookmarkStart w:id="91" w:name="_Toc334774185"/>
      <w:bookmarkStart w:id="92" w:name="_Toc28560"/>
      <w:bookmarkStart w:id="93" w:name="_Toc317863444"/>
      <w:bookmarkStart w:id="94" w:name="_Toc200513148"/>
      <w:bookmarkStart w:id="95" w:name="_Toc325636602"/>
      <w:bookmarkStart w:id="96" w:name="_Toc531594755"/>
      <w:r>
        <w:rPr>
          <w:rFonts w:ascii="Times New Roman" w:hAnsi="Times New Roman" w:eastAsia="方正仿宋_GBK" w:cs="Times New Roman"/>
          <w:b/>
          <w:kern w:val="0"/>
          <w:sz w:val="21"/>
          <w:szCs w:val="21"/>
        </w:rPr>
        <w:t>3.4 投标保证金</w:t>
      </w:r>
      <w:bookmarkEnd w:id="91"/>
      <w:bookmarkEnd w:id="92"/>
      <w:bookmarkEnd w:id="93"/>
      <w:bookmarkEnd w:id="94"/>
      <w:bookmarkEnd w:id="95"/>
      <w:bookmarkEnd w:id="96"/>
    </w:p>
    <w:p w14:paraId="29624087">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3.4.1 投标人在递交投标文件的同时，应按“投标人须知前附表”规定的金额、形式缴纳投标保证金，并作为其投标文件的组成部分。</w:t>
      </w:r>
    </w:p>
    <w:p w14:paraId="39523291">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3.4.2 投标人不按本章第 3.4.1 项要求提交投标保证金的，其投标文件作废标处理。</w:t>
      </w:r>
    </w:p>
    <w:p w14:paraId="216AAF02">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3.4.3 招标人</w:t>
      </w:r>
      <w:r>
        <w:rPr>
          <w:rFonts w:hint="eastAsia" w:ascii="Times New Roman" w:hAnsi="Times New Roman" w:eastAsia="方正仿宋_GBK" w:cs="Times New Roman"/>
          <w:kern w:val="0"/>
          <w:sz w:val="21"/>
          <w:szCs w:val="21"/>
        </w:rPr>
        <w:t>现场</w:t>
      </w:r>
      <w:r>
        <w:rPr>
          <w:rFonts w:ascii="Times New Roman" w:hAnsi="Times New Roman" w:eastAsia="方正仿宋_GBK" w:cs="Times New Roman"/>
          <w:kern w:val="0"/>
          <w:sz w:val="21"/>
          <w:szCs w:val="21"/>
        </w:rPr>
        <w:t>退还未列入中标候选人的投标保证金（不计息），招标人与中标人签订合同后10个工作日内，学院向其他中标候选人退还投标保证金（不计息）。</w:t>
      </w:r>
    </w:p>
    <w:p w14:paraId="14C89A66">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3.4.4 有下列情形之一的，投标保证金将不予退还：</w:t>
      </w:r>
    </w:p>
    <w:p w14:paraId="6ED7F725">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3.4.4.1 投标人在规定的投标有效期内撤销或修改其投标文件；</w:t>
      </w:r>
    </w:p>
    <w:p w14:paraId="6E313A34">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3.4.4.2 中标人在中标通知书发出3日之内拒绝签订合同，其保证金将不予退还。</w:t>
      </w:r>
    </w:p>
    <w:p w14:paraId="7192CF27">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b/>
          <w:kern w:val="0"/>
          <w:sz w:val="21"/>
          <w:szCs w:val="21"/>
        </w:rPr>
      </w:pPr>
      <w:r>
        <w:rPr>
          <w:rFonts w:ascii="Times New Roman" w:hAnsi="Times New Roman" w:eastAsia="方正仿宋_GBK" w:cs="Times New Roman"/>
          <w:b/>
          <w:kern w:val="0"/>
          <w:sz w:val="21"/>
          <w:szCs w:val="21"/>
        </w:rPr>
        <w:t>3.5 资格审查资料</w:t>
      </w:r>
    </w:p>
    <w:p w14:paraId="28220B86">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3.5.1 本须知前附表1.4.1条要求的相关资料复印件（需要加盖公章）和投标文件格式要求的内容；</w:t>
      </w:r>
    </w:p>
    <w:p w14:paraId="3D20CD00">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b/>
          <w:kern w:val="0"/>
          <w:sz w:val="21"/>
          <w:szCs w:val="21"/>
        </w:rPr>
      </w:pPr>
      <w:bookmarkStart w:id="97" w:name="_Toc317863446"/>
      <w:bookmarkStart w:id="98" w:name="_Toc334774187"/>
      <w:bookmarkStart w:id="99" w:name="_Toc531594756"/>
      <w:bookmarkStart w:id="100" w:name="_Toc325636604"/>
      <w:bookmarkStart w:id="101" w:name="_Toc7983"/>
      <w:bookmarkStart w:id="102" w:name="_Toc200513151"/>
      <w:r>
        <w:rPr>
          <w:rFonts w:ascii="Times New Roman" w:hAnsi="Times New Roman" w:eastAsia="方正仿宋_GBK" w:cs="Times New Roman"/>
          <w:b/>
          <w:kern w:val="0"/>
          <w:sz w:val="21"/>
          <w:szCs w:val="21"/>
        </w:rPr>
        <w:t>3.6 备选投标人案</w:t>
      </w:r>
      <w:bookmarkEnd w:id="97"/>
      <w:bookmarkEnd w:id="98"/>
      <w:bookmarkEnd w:id="99"/>
      <w:bookmarkEnd w:id="100"/>
      <w:bookmarkEnd w:id="101"/>
      <w:bookmarkEnd w:id="102"/>
    </w:p>
    <w:p w14:paraId="2E65511E">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投标人不得递交备选投标人案。</w:t>
      </w:r>
    </w:p>
    <w:p w14:paraId="7FE5B6C0">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b/>
          <w:kern w:val="0"/>
          <w:sz w:val="21"/>
          <w:szCs w:val="21"/>
        </w:rPr>
      </w:pPr>
      <w:bookmarkStart w:id="103" w:name="_Toc325636605"/>
      <w:bookmarkStart w:id="104" w:name="_Toc334774188"/>
      <w:bookmarkStart w:id="105" w:name="_Toc317863447"/>
      <w:bookmarkStart w:id="106" w:name="_Toc200513152"/>
      <w:bookmarkStart w:id="107" w:name="_Toc21408"/>
      <w:bookmarkStart w:id="108" w:name="_Toc531594757"/>
      <w:r>
        <w:rPr>
          <w:rFonts w:ascii="Times New Roman" w:hAnsi="Times New Roman" w:eastAsia="方正仿宋_GBK" w:cs="Times New Roman"/>
          <w:b/>
          <w:kern w:val="0"/>
          <w:sz w:val="21"/>
          <w:szCs w:val="21"/>
        </w:rPr>
        <w:t>3.7 投标文件的编制</w:t>
      </w:r>
      <w:bookmarkEnd w:id="103"/>
      <w:bookmarkEnd w:id="104"/>
      <w:bookmarkEnd w:id="105"/>
      <w:bookmarkEnd w:id="106"/>
      <w:bookmarkEnd w:id="107"/>
      <w:bookmarkEnd w:id="108"/>
    </w:p>
    <w:p w14:paraId="2AA0CF33">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3.7.1 投标文件应按第五章“投标文件格式”进行编写，如有必要，可以增加内容和附页，作为投标文件的组成部分。其中，投标文件技术条款、投标函条款在满足招标文件实质性要求的基础上，可以提出比招标文件要求更有利于招标人的承诺。</w:t>
      </w:r>
    </w:p>
    <w:p w14:paraId="76399D48">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3.7.2 投标文件应当对招标文件有关工期、投标有效期、质量要求、技术标准和要求、招标范围等实质性内容做出响应。</w:t>
      </w:r>
    </w:p>
    <w:p w14:paraId="1B53D77B">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3.7.3 投标文件应用不褪色的材料书写或打印，并由投标人的法定代表人或其委托代理人签字、盖单位公章。委托代理人签字的，投标文件应附法定代表人签署的授权委托书。投标文件应尽量避免涂改、行间插字或删除。如果出现上述情况，改动之处应加盖单位公章或由投标人的法定代表人或其授权的代理人签字确认。签字或盖章的具体要求见投标人须知前附表。</w:t>
      </w:r>
    </w:p>
    <w:p w14:paraId="7A7E5B21">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3.7.4 投标文件份数见投标须知前附表。</w:t>
      </w:r>
    </w:p>
    <w:p w14:paraId="5C7AEBD6">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3.7.5 投标文件的正本与副本应分别装订成册，并编制目录，具体装订要求见投标人须知前附表规定。</w:t>
      </w:r>
    </w:p>
    <w:p w14:paraId="72B64B7A">
      <w:pPr>
        <w:autoSpaceDE w:val="0"/>
        <w:autoSpaceDN w:val="0"/>
        <w:adjustRightInd w:val="0"/>
        <w:snapToGrid w:val="0"/>
        <w:spacing w:line="240" w:lineRule="exact"/>
        <w:ind w:firstLine="414" w:firstLineChars="200"/>
        <w:jc w:val="left"/>
        <w:outlineLvl w:val="1"/>
        <w:rPr>
          <w:rFonts w:ascii="Times New Roman" w:hAnsi="Times New Roman" w:eastAsia="方正楷体_GBK" w:cs="Times New Roman"/>
          <w:b/>
          <w:w w:val="99"/>
          <w:kern w:val="0"/>
          <w:sz w:val="21"/>
          <w:szCs w:val="21"/>
          <w:lang w:val="zh-CN"/>
        </w:rPr>
      </w:pPr>
      <w:bookmarkStart w:id="109" w:name="_Toc531594758"/>
      <w:bookmarkStart w:id="110" w:name="_Toc317863448"/>
      <w:bookmarkStart w:id="111" w:name="_Toc200513153"/>
      <w:bookmarkStart w:id="112" w:name="_Toc334774189"/>
      <w:bookmarkStart w:id="113" w:name="_Toc13793"/>
      <w:r>
        <w:rPr>
          <w:rFonts w:ascii="Times New Roman" w:hAnsi="Times New Roman" w:eastAsia="方正楷体_GBK" w:cs="Times New Roman"/>
          <w:b/>
          <w:w w:val="99"/>
          <w:kern w:val="0"/>
          <w:sz w:val="21"/>
          <w:szCs w:val="21"/>
          <w:lang w:val="zh-CN"/>
        </w:rPr>
        <w:t>4.投标</w:t>
      </w:r>
      <w:bookmarkEnd w:id="109"/>
      <w:bookmarkEnd w:id="110"/>
      <w:bookmarkEnd w:id="111"/>
      <w:bookmarkEnd w:id="112"/>
      <w:bookmarkEnd w:id="113"/>
    </w:p>
    <w:p w14:paraId="567A863F">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b/>
          <w:kern w:val="0"/>
          <w:sz w:val="21"/>
          <w:szCs w:val="21"/>
        </w:rPr>
      </w:pPr>
      <w:bookmarkStart w:id="114" w:name="_Toc325636607"/>
      <w:bookmarkStart w:id="115" w:name="_Toc531594759"/>
      <w:bookmarkStart w:id="116" w:name="_Toc334774190"/>
      <w:bookmarkStart w:id="117" w:name="_Toc26003"/>
      <w:bookmarkStart w:id="118" w:name="_Toc200513154"/>
      <w:bookmarkStart w:id="119" w:name="_Toc317863449"/>
      <w:r>
        <w:rPr>
          <w:rFonts w:ascii="Times New Roman" w:hAnsi="Times New Roman" w:eastAsia="方正仿宋_GBK" w:cs="Times New Roman"/>
          <w:b/>
          <w:kern w:val="0"/>
          <w:sz w:val="21"/>
          <w:szCs w:val="21"/>
        </w:rPr>
        <w:t>4.1 投标文件的密封和标记</w:t>
      </w:r>
      <w:bookmarkEnd w:id="114"/>
      <w:bookmarkEnd w:id="115"/>
      <w:bookmarkEnd w:id="116"/>
      <w:bookmarkEnd w:id="117"/>
      <w:bookmarkEnd w:id="118"/>
      <w:bookmarkEnd w:id="119"/>
    </w:p>
    <w:p w14:paraId="357D13B3">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4.1.1 投标文件的密封见投标人须知前附表。</w:t>
      </w:r>
    </w:p>
    <w:p w14:paraId="1A699AB0">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4.1.2 投标文件的封套上应写明的内容见投标人须知前附表。</w:t>
      </w:r>
    </w:p>
    <w:p w14:paraId="6060118D">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4.1.3 未按要求密封和写标记的投标文件，将被拒绝受理。</w:t>
      </w:r>
    </w:p>
    <w:p w14:paraId="608E303A">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b/>
          <w:kern w:val="0"/>
          <w:sz w:val="21"/>
          <w:szCs w:val="21"/>
        </w:rPr>
      </w:pPr>
      <w:bookmarkStart w:id="120" w:name="_Toc531594760"/>
      <w:bookmarkStart w:id="121" w:name="_Toc5004"/>
      <w:bookmarkStart w:id="122" w:name="_Toc317863450"/>
      <w:bookmarkStart w:id="123" w:name="_Toc325636608"/>
      <w:bookmarkStart w:id="124" w:name="_Toc334774191"/>
      <w:r>
        <w:rPr>
          <w:rFonts w:ascii="Times New Roman" w:hAnsi="Times New Roman" w:eastAsia="方正仿宋_GBK" w:cs="Times New Roman"/>
          <w:b/>
          <w:kern w:val="0"/>
          <w:sz w:val="21"/>
          <w:szCs w:val="21"/>
        </w:rPr>
        <w:t>4.2 投标文件的递交</w:t>
      </w:r>
      <w:bookmarkEnd w:id="120"/>
      <w:bookmarkEnd w:id="121"/>
      <w:bookmarkEnd w:id="122"/>
      <w:bookmarkEnd w:id="123"/>
      <w:bookmarkEnd w:id="124"/>
    </w:p>
    <w:p w14:paraId="49DD1163">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4.2.1 投标人应在本章前附表规定的投标截止时间前递交投标文件。</w:t>
      </w:r>
    </w:p>
    <w:p w14:paraId="40F0E785">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4.2.2 投标人递交投标文件的地点：见投标人须知前附表。</w:t>
      </w:r>
    </w:p>
    <w:p w14:paraId="74EEAA03">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4.2.3 除投标人须知前附表另有规定外，投标人所递交的投标文件不予退还。</w:t>
      </w:r>
    </w:p>
    <w:p w14:paraId="02FD26FC">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4.2.4 招标人收到投标文件后，向投标人出具签收凭证。</w:t>
      </w:r>
    </w:p>
    <w:p w14:paraId="44CD489F">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4.2.5 逾期送达的或者未送达指定地点的投标文件，招标人不予受理。</w:t>
      </w:r>
    </w:p>
    <w:p w14:paraId="1267C2A6">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b/>
          <w:kern w:val="0"/>
          <w:sz w:val="21"/>
          <w:szCs w:val="21"/>
        </w:rPr>
      </w:pPr>
      <w:bookmarkStart w:id="125" w:name="_Toc317863451"/>
      <w:bookmarkStart w:id="126" w:name="_Toc334774192"/>
      <w:bookmarkStart w:id="127" w:name="_Toc531594761"/>
      <w:bookmarkStart w:id="128" w:name="_Toc20769"/>
      <w:bookmarkStart w:id="129" w:name="_Toc200513156"/>
      <w:bookmarkStart w:id="130" w:name="_Toc325636609"/>
      <w:r>
        <w:rPr>
          <w:rFonts w:ascii="Times New Roman" w:hAnsi="Times New Roman" w:eastAsia="方正仿宋_GBK" w:cs="Times New Roman"/>
          <w:b/>
          <w:kern w:val="0"/>
          <w:sz w:val="21"/>
          <w:szCs w:val="21"/>
        </w:rPr>
        <w:t>4.3 投标文件的修改与撤回</w:t>
      </w:r>
      <w:bookmarkEnd w:id="125"/>
      <w:bookmarkEnd w:id="126"/>
      <w:bookmarkEnd w:id="127"/>
      <w:bookmarkEnd w:id="128"/>
      <w:bookmarkEnd w:id="129"/>
      <w:bookmarkEnd w:id="130"/>
    </w:p>
    <w:p w14:paraId="31A31E57">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4.3.1 在本章第4.2.1项规定的投标截止时间前，投标人可以修改或撤回已递交的投标文件，但应以书面形式通知招标人。</w:t>
      </w:r>
    </w:p>
    <w:p w14:paraId="59CFC6BF">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4.3.2 投标人修改或撤回已递交投标文件的书面通知应按照本章第3.7.3项的要求签字或盖章。招标人收到书面通知后，向投标人出具签收凭证。</w:t>
      </w:r>
    </w:p>
    <w:p w14:paraId="130870BF">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4.3.3 修改的内容为投标文件的组成部分。修改的投标文件应按照本章第3条、第4条规定进行编制、密封、标记和递交，并标明“修改”字样。</w:t>
      </w:r>
    </w:p>
    <w:p w14:paraId="45D9FD51">
      <w:pPr>
        <w:autoSpaceDE w:val="0"/>
        <w:autoSpaceDN w:val="0"/>
        <w:adjustRightInd w:val="0"/>
        <w:snapToGrid w:val="0"/>
        <w:spacing w:line="240" w:lineRule="exact"/>
        <w:ind w:firstLine="414" w:firstLineChars="200"/>
        <w:jc w:val="left"/>
        <w:outlineLvl w:val="1"/>
        <w:rPr>
          <w:rFonts w:ascii="Times New Roman" w:hAnsi="Times New Roman" w:eastAsia="方正楷体_GBK" w:cs="Times New Roman"/>
          <w:b/>
          <w:w w:val="99"/>
          <w:kern w:val="0"/>
          <w:sz w:val="21"/>
          <w:szCs w:val="21"/>
          <w:lang w:val="zh-CN"/>
        </w:rPr>
      </w:pPr>
      <w:bookmarkStart w:id="131" w:name="_Toc1489"/>
      <w:bookmarkStart w:id="132" w:name="_Toc317863452"/>
      <w:bookmarkStart w:id="133" w:name="_Toc200513157"/>
      <w:bookmarkStart w:id="134" w:name="_Toc334774193"/>
      <w:bookmarkStart w:id="135" w:name="_Toc531594762"/>
      <w:r>
        <w:rPr>
          <w:rFonts w:ascii="Times New Roman" w:hAnsi="Times New Roman" w:eastAsia="方正楷体_GBK" w:cs="Times New Roman"/>
          <w:b/>
          <w:w w:val="99"/>
          <w:kern w:val="0"/>
          <w:sz w:val="21"/>
          <w:szCs w:val="21"/>
          <w:lang w:val="zh-CN"/>
        </w:rPr>
        <w:t>5.开标</w:t>
      </w:r>
      <w:bookmarkEnd w:id="131"/>
      <w:bookmarkEnd w:id="132"/>
      <w:bookmarkEnd w:id="133"/>
      <w:bookmarkEnd w:id="134"/>
      <w:r>
        <w:rPr>
          <w:rFonts w:ascii="Times New Roman" w:hAnsi="Times New Roman" w:eastAsia="方正楷体_GBK" w:cs="Times New Roman"/>
          <w:b/>
          <w:w w:val="99"/>
          <w:kern w:val="0"/>
          <w:sz w:val="21"/>
          <w:szCs w:val="21"/>
          <w:lang w:val="zh-CN"/>
        </w:rPr>
        <w:t>时间及地点</w:t>
      </w:r>
      <w:bookmarkEnd w:id="135"/>
    </w:p>
    <w:p w14:paraId="56D7F387">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bookmarkStart w:id="136" w:name="_Toc531594763"/>
      <w:r>
        <w:rPr>
          <w:rFonts w:ascii="Times New Roman" w:hAnsi="Times New Roman" w:eastAsia="方正仿宋_GBK" w:cs="Times New Roman"/>
          <w:kern w:val="0"/>
          <w:sz w:val="21"/>
          <w:szCs w:val="21"/>
        </w:rPr>
        <w:t>开标时间及地点见投标人需知前附表</w:t>
      </w:r>
      <w:bookmarkEnd w:id="136"/>
    </w:p>
    <w:p w14:paraId="35A6597C">
      <w:pPr>
        <w:autoSpaceDE w:val="0"/>
        <w:autoSpaceDN w:val="0"/>
        <w:adjustRightInd w:val="0"/>
        <w:snapToGrid w:val="0"/>
        <w:spacing w:line="240" w:lineRule="exact"/>
        <w:ind w:firstLine="414" w:firstLineChars="200"/>
        <w:jc w:val="left"/>
        <w:outlineLvl w:val="1"/>
        <w:rPr>
          <w:rFonts w:ascii="Times New Roman" w:hAnsi="Times New Roman" w:eastAsia="方正楷体_GBK" w:cs="Times New Roman"/>
          <w:b/>
          <w:w w:val="99"/>
          <w:kern w:val="0"/>
          <w:sz w:val="21"/>
          <w:szCs w:val="21"/>
          <w:lang w:val="zh-CN"/>
        </w:rPr>
      </w:pPr>
      <w:bookmarkStart w:id="137" w:name="_Toc531594764"/>
      <w:r>
        <w:rPr>
          <w:rFonts w:ascii="Times New Roman" w:hAnsi="Times New Roman" w:eastAsia="方正楷体_GBK" w:cs="Times New Roman"/>
          <w:b/>
          <w:w w:val="99"/>
          <w:kern w:val="0"/>
          <w:sz w:val="21"/>
          <w:szCs w:val="21"/>
          <w:lang w:val="zh-CN"/>
        </w:rPr>
        <w:t>6.评标</w:t>
      </w:r>
      <w:bookmarkEnd w:id="137"/>
    </w:p>
    <w:p w14:paraId="49C3C2E9">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b/>
          <w:kern w:val="0"/>
          <w:sz w:val="21"/>
          <w:szCs w:val="21"/>
        </w:rPr>
      </w:pPr>
      <w:bookmarkStart w:id="138" w:name="_Toc317863456"/>
      <w:bookmarkStart w:id="139" w:name="_Toc531594765"/>
      <w:bookmarkStart w:id="140" w:name="_Toc16186"/>
      <w:bookmarkStart w:id="141" w:name="_Toc200513161"/>
      <w:bookmarkStart w:id="142" w:name="_Toc334774197"/>
      <w:bookmarkStart w:id="143" w:name="_Toc325636614"/>
      <w:r>
        <w:rPr>
          <w:rFonts w:ascii="Times New Roman" w:hAnsi="Times New Roman" w:eastAsia="方正仿宋_GBK" w:cs="Times New Roman"/>
          <w:b/>
          <w:kern w:val="0"/>
          <w:sz w:val="21"/>
          <w:szCs w:val="21"/>
        </w:rPr>
        <w:t>6.1 评标委员会</w:t>
      </w:r>
      <w:bookmarkEnd w:id="138"/>
      <w:bookmarkEnd w:id="139"/>
      <w:bookmarkEnd w:id="140"/>
      <w:bookmarkEnd w:id="141"/>
      <w:bookmarkEnd w:id="142"/>
      <w:bookmarkEnd w:id="143"/>
    </w:p>
    <w:p w14:paraId="76194ED1">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6.1.1 评标由招标人依法组建的评标委员会负责。评标委员会成员的确定方式见投标人须知前附表。</w:t>
      </w:r>
    </w:p>
    <w:p w14:paraId="43F19087">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6.1.2 评标委员会成员有下列情形之一的，应当回避：</w:t>
      </w:r>
    </w:p>
    <w:p w14:paraId="25425466">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6.1.2.1 招标人或投标人的主要负责人的近亲属；</w:t>
      </w:r>
    </w:p>
    <w:p w14:paraId="7CACA039">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6.1.2.2 项目主管部门或者行政监督部门的人员；</w:t>
      </w:r>
    </w:p>
    <w:p w14:paraId="058B9C61">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6.1.2.3 与投标人有经济利益关系，可能影响对投标公正评审的；</w:t>
      </w:r>
    </w:p>
    <w:p w14:paraId="57FAD77B">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6.1.2.4 曾因在招标、评标以及其他与招标投标有关活动中从事违法行为而受过行政处罚或刑事处罚的。</w:t>
      </w:r>
    </w:p>
    <w:p w14:paraId="4E7774EA">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b/>
          <w:kern w:val="0"/>
          <w:sz w:val="21"/>
          <w:szCs w:val="21"/>
        </w:rPr>
      </w:pPr>
      <w:bookmarkStart w:id="144" w:name="_Toc531594766"/>
      <w:bookmarkStart w:id="145" w:name="_Toc317863457"/>
      <w:bookmarkStart w:id="146" w:name="_Toc18631"/>
      <w:bookmarkStart w:id="147" w:name="_Toc334774198"/>
      <w:bookmarkStart w:id="148" w:name="_Toc325636615"/>
      <w:bookmarkStart w:id="149" w:name="_Toc200513162"/>
      <w:r>
        <w:rPr>
          <w:rFonts w:ascii="Times New Roman" w:hAnsi="Times New Roman" w:eastAsia="方正仿宋_GBK" w:cs="Times New Roman"/>
          <w:b/>
          <w:kern w:val="0"/>
          <w:sz w:val="21"/>
          <w:szCs w:val="21"/>
        </w:rPr>
        <w:t>6.2 评标原则</w:t>
      </w:r>
      <w:bookmarkEnd w:id="144"/>
      <w:bookmarkEnd w:id="145"/>
      <w:bookmarkEnd w:id="146"/>
      <w:bookmarkEnd w:id="147"/>
      <w:bookmarkEnd w:id="148"/>
      <w:bookmarkEnd w:id="149"/>
    </w:p>
    <w:p w14:paraId="4F45816F">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hint="eastAsia" w:ascii="Times New Roman" w:hAnsi="Times New Roman" w:eastAsia="方正仿宋_GBK" w:cs="Times New Roman"/>
          <w:kern w:val="0"/>
          <w:sz w:val="21"/>
          <w:szCs w:val="21"/>
        </w:rPr>
        <w:t>见招标文件第四章</w:t>
      </w:r>
      <w:r>
        <w:rPr>
          <w:rFonts w:ascii="Times New Roman" w:hAnsi="Times New Roman" w:eastAsia="方正仿宋_GBK" w:cs="Times New Roman"/>
          <w:kern w:val="0"/>
          <w:sz w:val="21"/>
          <w:szCs w:val="21"/>
        </w:rPr>
        <w:t>；</w:t>
      </w:r>
    </w:p>
    <w:p w14:paraId="0027B08B">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b/>
          <w:kern w:val="0"/>
          <w:sz w:val="21"/>
          <w:szCs w:val="21"/>
        </w:rPr>
      </w:pPr>
      <w:r>
        <w:rPr>
          <w:rFonts w:ascii="Times New Roman" w:hAnsi="Times New Roman" w:eastAsia="方正仿宋_GBK" w:cs="Times New Roman"/>
          <w:b/>
          <w:kern w:val="0"/>
          <w:sz w:val="21"/>
          <w:szCs w:val="21"/>
        </w:rPr>
        <w:t>6.3 评标</w:t>
      </w:r>
    </w:p>
    <w:p w14:paraId="0DAC6E3C">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评标委员会按照第四章“评标原则”规定的方法、评审因素、标准和程序对投标文件进行评审。</w:t>
      </w:r>
    </w:p>
    <w:p w14:paraId="2B0DADF2">
      <w:pPr>
        <w:autoSpaceDE w:val="0"/>
        <w:autoSpaceDN w:val="0"/>
        <w:adjustRightInd w:val="0"/>
        <w:snapToGrid w:val="0"/>
        <w:spacing w:line="240" w:lineRule="exact"/>
        <w:ind w:firstLine="414" w:firstLineChars="200"/>
        <w:jc w:val="left"/>
        <w:outlineLvl w:val="1"/>
        <w:rPr>
          <w:rFonts w:ascii="Times New Roman" w:hAnsi="Times New Roman" w:eastAsia="方正楷体_GBK" w:cs="Times New Roman"/>
          <w:b/>
          <w:w w:val="99"/>
          <w:kern w:val="0"/>
          <w:sz w:val="21"/>
          <w:szCs w:val="21"/>
          <w:lang w:val="zh-CN"/>
        </w:rPr>
      </w:pPr>
      <w:bookmarkStart w:id="150" w:name="_Toc317863459"/>
      <w:bookmarkStart w:id="151" w:name="_Toc531594767"/>
      <w:bookmarkStart w:id="152" w:name="_Toc5106"/>
      <w:bookmarkStart w:id="153" w:name="_Toc334774200"/>
      <w:r>
        <w:rPr>
          <w:rFonts w:ascii="Times New Roman" w:hAnsi="Times New Roman" w:eastAsia="方正楷体_GBK" w:cs="Times New Roman"/>
          <w:b/>
          <w:w w:val="99"/>
          <w:kern w:val="0"/>
          <w:sz w:val="21"/>
          <w:szCs w:val="21"/>
          <w:lang w:val="zh-CN"/>
        </w:rPr>
        <w:t>7.合同授予</w:t>
      </w:r>
      <w:bookmarkEnd w:id="150"/>
      <w:bookmarkEnd w:id="151"/>
      <w:bookmarkEnd w:id="152"/>
      <w:bookmarkEnd w:id="153"/>
    </w:p>
    <w:p w14:paraId="46D6DCF5">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b/>
          <w:kern w:val="0"/>
          <w:sz w:val="21"/>
          <w:szCs w:val="21"/>
        </w:rPr>
      </w:pPr>
      <w:bookmarkStart w:id="154" w:name="_Toc317863460"/>
      <w:bookmarkStart w:id="155" w:name="_Toc22299"/>
      <w:bookmarkStart w:id="156" w:name="_Toc531594768"/>
      <w:bookmarkStart w:id="157" w:name="_Toc334774201"/>
      <w:bookmarkStart w:id="158" w:name="_Toc200513165"/>
      <w:bookmarkStart w:id="159" w:name="_Toc325636618"/>
      <w:r>
        <w:rPr>
          <w:rFonts w:ascii="Times New Roman" w:hAnsi="Times New Roman" w:eastAsia="方正仿宋_GBK" w:cs="Times New Roman"/>
          <w:b/>
          <w:kern w:val="0"/>
          <w:sz w:val="21"/>
          <w:szCs w:val="21"/>
        </w:rPr>
        <w:t>7.1 定标方式</w:t>
      </w:r>
      <w:bookmarkEnd w:id="154"/>
      <w:bookmarkEnd w:id="155"/>
      <w:bookmarkEnd w:id="156"/>
      <w:bookmarkEnd w:id="157"/>
      <w:bookmarkEnd w:id="158"/>
      <w:bookmarkEnd w:id="159"/>
    </w:p>
    <w:p w14:paraId="3BE79053">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除投标人须知前附表规定评标委员会直接确定中标人外，招标人依据评标委员会推荐的中标候选人确定中标人，评标委员会推荐中标候选人的人数见投标人须知前附表。</w:t>
      </w:r>
    </w:p>
    <w:p w14:paraId="3D989A84">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b/>
          <w:kern w:val="0"/>
          <w:sz w:val="21"/>
          <w:szCs w:val="21"/>
        </w:rPr>
      </w:pPr>
      <w:bookmarkStart w:id="160" w:name="_Toc317863461"/>
      <w:bookmarkStart w:id="161" w:name="_Toc19729"/>
      <w:bookmarkStart w:id="162" w:name="_Toc334774202"/>
      <w:bookmarkStart w:id="163" w:name="_Toc325636619"/>
      <w:bookmarkStart w:id="164" w:name="_Toc200513166"/>
      <w:bookmarkStart w:id="165" w:name="_Toc531594769"/>
      <w:r>
        <w:rPr>
          <w:rFonts w:ascii="Times New Roman" w:hAnsi="Times New Roman" w:eastAsia="方正仿宋_GBK" w:cs="Times New Roman"/>
          <w:b/>
          <w:kern w:val="0"/>
          <w:sz w:val="21"/>
          <w:szCs w:val="21"/>
        </w:rPr>
        <w:t>7.2 中标通知</w:t>
      </w:r>
      <w:bookmarkEnd w:id="160"/>
      <w:bookmarkEnd w:id="161"/>
      <w:bookmarkEnd w:id="162"/>
      <w:bookmarkEnd w:id="163"/>
      <w:bookmarkEnd w:id="164"/>
      <w:bookmarkEnd w:id="165"/>
    </w:p>
    <w:p w14:paraId="226C960B">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在本章第 3.3 款规定的投标有效期内，招标人以</w:t>
      </w:r>
      <w:r>
        <w:rPr>
          <w:rFonts w:hint="eastAsia" w:ascii="Times New Roman" w:hAnsi="Times New Roman" w:eastAsia="方正仿宋_GBK" w:cs="Times New Roman"/>
          <w:kern w:val="0"/>
          <w:sz w:val="21"/>
          <w:szCs w:val="21"/>
        </w:rPr>
        <w:t>书面</w:t>
      </w:r>
      <w:r>
        <w:rPr>
          <w:rFonts w:ascii="Times New Roman" w:hAnsi="Times New Roman" w:eastAsia="方正仿宋_GBK" w:cs="Times New Roman"/>
          <w:kern w:val="0"/>
          <w:sz w:val="21"/>
          <w:szCs w:val="21"/>
        </w:rPr>
        <w:t>的形式向中标人发出中标通知书。</w:t>
      </w:r>
    </w:p>
    <w:p w14:paraId="3AC4E08A">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b/>
          <w:kern w:val="0"/>
          <w:sz w:val="21"/>
          <w:szCs w:val="21"/>
        </w:rPr>
      </w:pPr>
      <w:bookmarkStart w:id="166" w:name="_Toc531594770"/>
      <w:bookmarkStart w:id="167" w:name="_Toc9808"/>
      <w:bookmarkStart w:id="168" w:name="_Toc334774203"/>
      <w:bookmarkStart w:id="169" w:name="_Toc317863463"/>
      <w:bookmarkStart w:id="170" w:name="_Toc325636621"/>
      <w:r>
        <w:rPr>
          <w:rFonts w:ascii="Times New Roman" w:hAnsi="Times New Roman" w:eastAsia="方正仿宋_GBK" w:cs="Times New Roman"/>
          <w:b/>
          <w:kern w:val="0"/>
          <w:sz w:val="21"/>
          <w:szCs w:val="21"/>
        </w:rPr>
        <w:t>7.3 签订合同</w:t>
      </w:r>
      <w:bookmarkEnd w:id="166"/>
      <w:bookmarkEnd w:id="167"/>
      <w:bookmarkEnd w:id="168"/>
      <w:bookmarkEnd w:id="169"/>
      <w:bookmarkEnd w:id="170"/>
    </w:p>
    <w:p w14:paraId="2DE6DEFB">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7.3.1 招标人和中标人应当自中标通知书发出之日起3日内，根据招标文件和中标人的投标文件订立书面合同。中标人无正当理由拒签合同的，招标人取消其中标资格，其投标保证金不予退还；给招标人造成的损失超过投标保证金数额的，中标人还应当对超过部分予以赔偿。</w:t>
      </w:r>
    </w:p>
    <w:p w14:paraId="0D051CA7">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7.3.2 发出中标通知书后，招标人无正当理由拒签合同的，招标人向中标人退还投标保证金；给中标人造成损失的，还应当赔偿损失。</w:t>
      </w:r>
    </w:p>
    <w:p w14:paraId="1828E180">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7.3.3 投标人中标后又提出对招标文件中各项条款的不实质性响应，经双方协商，在7.3.1条规定的时间内不能达成一致意见的，招标人有权取消其中标资格，并没收其投标保证金。</w:t>
      </w:r>
    </w:p>
    <w:p w14:paraId="735FB321">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7.3.4 签订合同后，</w:t>
      </w:r>
      <w:r>
        <w:rPr>
          <w:rFonts w:hint="eastAsia" w:ascii="Times New Roman" w:hAnsi="Times New Roman" w:eastAsia="方正仿宋_GBK" w:cs="Times New Roman"/>
          <w:kern w:val="0"/>
          <w:sz w:val="21"/>
          <w:szCs w:val="21"/>
        </w:rPr>
        <w:t>中标人放弃中标权</w:t>
      </w:r>
      <w:r>
        <w:rPr>
          <w:rFonts w:ascii="Times New Roman" w:hAnsi="Times New Roman" w:eastAsia="方正仿宋_GBK" w:cs="Times New Roman"/>
          <w:kern w:val="0"/>
          <w:sz w:val="21"/>
          <w:szCs w:val="21"/>
        </w:rPr>
        <w:t>或因自身原因（如资金不保证，设备、机具、劳动力等资源不保证,无法提交履约担保等等）不能履行合同，</w:t>
      </w:r>
      <w:r>
        <w:rPr>
          <w:rFonts w:hint="eastAsia" w:ascii="Times New Roman" w:hAnsi="Times New Roman" w:eastAsia="方正仿宋_GBK" w:cs="Times New Roman"/>
          <w:kern w:val="0"/>
          <w:sz w:val="21"/>
          <w:szCs w:val="21"/>
        </w:rPr>
        <w:t>招标</w:t>
      </w:r>
      <w:r>
        <w:rPr>
          <w:rFonts w:ascii="Times New Roman" w:hAnsi="Times New Roman" w:eastAsia="方正仿宋_GBK" w:cs="Times New Roman"/>
          <w:kern w:val="0"/>
          <w:sz w:val="21"/>
          <w:szCs w:val="21"/>
        </w:rPr>
        <w:t>人有权终止合同，并没收其投标保证金及履约保证金。</w:t>
      </w:r>
    </w:p>
    <w:p w14:paraId="3967EBB4">
      <w:pPr>
        <w:autoSpaceDE w:val="0"/>
        <w:autoSpaceDN w:val="0"/>
        <w:adjustRightInd w:val="0"/>
        <w:snapToGrid w:val="0"/>
        <w:spacing w:line="240" w:lineRule="exact"/>
        <w:ind w:firstLine="414" w:firstLineChars="200"/>
        <w:jc w:val="left"/>
        <w:outlineLvl w:val="1"/>
        <w:rPr>
          <w:rFonts w:ascii="Times New Roman" w:hAnsi="Times New Roman" w:eastAsia="方正楷体_GBK" w:cs="Times New Roman"/>
          <w:b/>
          <w:w w:val="99"/>
          <w:kern w:val="0"/>
          <w:sz w:val="21"/>
          <w:szCs w:val="21"/>
          <w:lang w:val="zh-CN"/>
        </w:rPr>
      </w:pPr>
      <w:bookmarkStart w:id="171" w:name="_Toc15584"/>
      <w:bookmarkStart w:id="172" w:name="_Toc531594771"/>
      <w:bookmarkStart w:id="173" w:name="_Toc334774204"/>
      <w:bookmarkStart w:id="174" w:name="_Toc317863464"/>
      <w:r>
        <w:rPr>
          <w:rFonts w:ascii="Times New Roman" w:hAnsi="Times New Roman" w:eastAsia="方正楷体_GBK" w:cs="Times New Roman"/>
          <w:b/>
          <w:w w:val="99"/>
          <w:kern w:val="0"/>
          <w:sz w:val="21"/>
          <w:szCs w:val="21"/>
          <w:lang w:val="zh-CN"/>
        </w:rPr>
        <w:t>8.重新招标和不再招标</w:t>
      </w:r>
      <w:bookmarkEnd w:id="171"/>
      <w:bookmarkEnd w:id="172"/>
      <w:bookmarkEnd w:id="173"/>
      <w:bookmarkEnd w:id="174"/>
    </w:p>
    <w:p w14:paraId="62CA35D3">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b/>
          <w:kern w:val="0"/>
          <w:sz w:val="21"/>
          <w:szCs w:val="21"/>
        </w:rPr>
      </w:pPr>
      <w:bookmarkStart w:id="175" w:name="_Toc317863465"/>
      <w:bookmarkStart w:id="176" w:name="_Toc22330"/>
      <w:bookmarkStart w:id="177" w:name="_Toc325636623"/>
      <w:bookmarkStart w:id="178" w:name="_Toc531594772"/>
      <w:bookmarkStart w:id="179" w:name="_Toc200513170"/>
      <w:bookmarkStart w:id="180" w:name="_Toc334774205"/>
      <w:r>
        <w:rPr>
          <w:rFonts w:ascii="Times New Roman" w:hAnsi="Times New Roman" w:eastAsia="方正仿宋_GBK" w:cs="Times New Roman"/>
          <w:b/>
          <w:kern w:val="0"/>
          <w:sz w:val="21"/>
          <w:szCs w:val="21"/>
        </w:rPr>
        <w:t>8.1 重新招标</w:t>
      </w:r>
      <w:bookmarkEnd w:id="175"/>
      <w:bookmarkEnd w:id="176"/>
      <w:bookmarkEnd w:id="177"/>
      <w:bookmarkEnd w:id="178"/>
      <w:bookmarkEnd w:id="179"/>
      <w:bookmarkEnd w:id="180"/>
    </w:p>
    <w:p w14:paraId="027FCCE7">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有下列情形之一的，招标人将重新招标</w:t>
      </w:r>
    </w:p>
    <w:p w14:paraId="7BE466F2">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（1）投标截止时间止，投标人少于三个的；</w:t>
      </w:r>
    </w:p>
    <w:p w14:paraId="044E587E">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2）经评审后，如合格的投标人少于三个且评标委员会评定为仍具有竞争的，评标委员会可以继续进行评审，并按招标文件规定推荐中标候选人。如合格的投标人少于三个的，且明显缺乏竞争的，评标委员会可以否决全部投标，招标人将按照我校招投标管理办法的相关规定执行。</w:t>
      </w:r>
    </w:p>
    <w:p w14:paraId="4CA586A8">
      <w:pPr>
        <w:autoSpaceDE w:val="0"/>
        <w:autoSpaceDN w:val="0"/>
        <w:adjustRightInd w:val="0"/>
        <w:snapToGrid w:val="0"/>
        <w:spacing w:line="240" w:lineRule="exact"/>
        <w:ind w:firstLine="420" w:firstLineChars="200"/>
        <w:jc w:val="left"/>
        <w:outlineLvl w:val="2"/>
        <w:rPr>
          <w:rFonts w:ascii="Times New Roman" w:hAnsi="Times New Roman" w:eastAsia="方正黑体_GBK" w:cs="Times New Roman"/>
          <w:b/>
          <w:kern w:val="0"/>
          <w:sz w:val="21"/>
          <w:szCs w:val="21"/>
          <w:lang w:val="zh-CN"/>
        </w:rPr>
      </w:pPr>
      <w:r>
        <w:rPr>
          <w:rFonts w:ascii="Times New Roman" w:hAnsi="Times New Roman" w:eastAsia="方正仿宋_GBK" w:cs="Times New Roman"/>
          <w:b/>
          <w:kern w:val="0"/>
          <w:sz w:val="21"/>
          <w:szCs w:val="21"/>
        </w:rPr>
        <w:t>8.2 不再招标</w:t>
      </w:r>
    </w:p>
    <w:p w14:paraId="052BAD4E">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重新招标后投标人仍少于三个或者所有投标被否决的，</w:t>
      </w:r>
      <w:r>
        <w:rPr>
          <w:rFonts w:hint="eastAsia" w:ascii="Times New Roman" w:hAnsi="Times New Roman" w:eastAsia="方正仿宋_GBK" w:cs="Times New Roman"/>
          <w:kern w:val="0"/>
          <w:sz w:val="21"/>
          <w:szCs w:val="21"/>
        </w:rPr>
        <w:t>可不再招标，采取其他采购方式；</w:t>
      </w:r>
      <w:r>
        <w:rPr>
          <w:rFonts w:ascii="Times New Roman" w:hAnsi="Times New Roman" w:eastAsia="方正仿宋_GBK" w:cs="Times New Roman"/>
          <w:kern w:val="0"/>
          <w:sz w:val="21"/>
          <w:szCs w:val="21"/>
        </w:rPr>
        <w:t>属于必须审批或核准的工程建设项目，经原审批或核准部门批准后不再进行招标。</w:t>
      </w:r>
    </w:p>
    <w:p w14:paraId="77A44DBE">
      <w:pPr>
        <w:autoSpaceDE w:val="0"/>
        <w:autoSpaceDN w:val="0"/>
        <w:adjustRightInd w:val="0"/>
        <w:snapToGrid w:val="0"/>
        <w:spacing w:line="240" w:lineRule="exact"/>
        <w:ind w:firstLine="414" w:firstLineChars="200"/>
        <w:jc w:val="left"/>
        <w:outlineLvl w:val="1"/>
        <w:rPr>
          <w:rFonts w:ascii="Times New Roman" w:hAnsi="Times New Roman" w:eastAsia="方正楷体_GBK" w:cs="Times New Roman"/>
          <w:b/>
          <w:w w:val="99"/>
          <w:kern w:val="0"/>
          <w:sz w:val="21"/>
          <w:szCs w:val="21"/>
          <w:lang w:val="zh-CN"/>
        </w:rPr>
      </w:pPr>
      <w:bookmarkStart w:id="181" w:name="_Toc317863467"/>
      <w:bookmarkStart w:id="182" w:name="_Toc11895"/>
      <w:bookmarkStart w:id="183" w:name="_Toc334774207"/>
      <w:bookmarkStart w:id="184" w:name="_Toc200513172"/>
      <w:bookmarkStart w:id="185" w:name="_Toc531594773"/>
      <w:r>
        <w:rPr>
          <w:rFonts w:ascii="Times New Roman" w:hAnsi="Times New Roman" w:eastAsia="方正楷体_GBK" w:cs="Times New Roman"/>
          <w:b/>
          <w:w w:val="99"/>
          <w:kern w:val="0"/>
          <w:sz w:val="21"/>
          <w:szCs w:val="21"/>
          <w:lang w:val="zh-CN"/>
        </w:rPr>
        <w:t>9.纪律和监督</w:t>
      </w:r>
      <w:bookmarkEnd w:id="181"/>
      <w:bookmarkEnd w:id="182"/>
      <w:bookmarkEnd w:id="183"/>
      <w:bookmarkEnd w:id="184"/>
      <w:bookmarkEnd w:id="185"/>
    </w:p>
    <w:p w14:paraId="75476C01">
      <w:pPr>
        <w:autoSpaceDE w:val="0"/>
        <w:autoSpaceDN w:val="0"/>
        <w:adjustRightInd w:val="0"/>
        <w:snapToGrid w:val="0"/>
        <w:spacing w:line="240" w:lineRule="exact"/>
        <w:ind w:firstLine="420" w:firstLineChars="200"/>
        <w:jc w:val="left"/>
        <w:outlineLvl w:val="1"/>
        <w:rPr>
          <w:rFonts w:ascii="Times New Roman" w:hAnsi="Times New Roman" w:eastAsia="方正仿宋_GBK" w:cs="Times New Roman"/>
          <w:b/>
          <w:kern w:val="0"/>
          <w:sz w:val="21"/>
          <w:szCs w:val="21"/>
        </w:rPr>
      </w:pPr>
      <w:bookmarkStart w:id="186" w:name="_Toc531594774"/>
      <w:bookmarkStart w:id="187" w:name="_Toc200513173"/>
      <w:bookmarkStart w:id="188" w:name="_Toc334774208"/>
      <w:bookmarkStart w:id="189" w:name="_Toc1463"/>
      <w:bookmarkStart w:id="190" w:name="_Toc317863468"/>
      <w:bookmarkStart w:id="191" w:name="_Toc325636626"/>
      <w:r>
        <w:rPr>
          <w:rFonts w:ascii="Times New Roman" w:hAnsi="Times New Roman" w:eastAsia="方正仿宋_GBK" w:cs="Times New Roman"/>
          <w:b/>
          <w:kern w:val="0"/>
          <w:sz w:val="21"/>
          <w:szCs w:val="21"/>
        </w:rPr>
        <w:t>9.1 对招标人的纪律要求</w:t>
      </w:r>
      <w:bookmarkEnd w:id="186"/>
      <w:bookmarkEnd w:id="187"/>
      <w:bookmarkEnd w:id="188"/>
      <w:bookmarkEnd w:id="189"/>
      <w:bookmarkEnd w:id="190"/>
      <w:bookmarkEnd w:id="191"/>
    </w:p>
    <w:p w14:paraId="5007577A">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招标人不得泄漏招标投标活动中应当保密的情况和资料，不得与投标人串通损害国家利益、社会公共利益或者他人合法权益。</w:t>
      </w:r>
    </w:p>
    <w:p w14:paraId="44B3B990">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b/>
          <w:kern w:val="0"/>
          <w:sz w:val="21"/>
          <w:szCs w:val="21"/>
        </w:rPr>
      </w:pPr>
      <w:bookmarkStart w:id="192" w:name="_Toc270"/>
      <w:bookmarkStart w:id="193" w:name="_Toc531594775"/>
      <w:bookmarkStart w:id="194" w:name="_Toc317863469"/>
      <w:bookmarkStart w:id="195" w:name="_Toc334774209"/>
      <w:bookmarkStart w:id="196" w:name="_Toc200513174"/>
      <w:bookmarkStart w:id="197" w:name="_Toc325636627"/>
      <w:r>
        <w:rPr>
          <w:rFonts w:ascii="Times New Roman" w:hAnsi="Times New Roman" w:eastAsia="方正仿宋_GBK" w:cs="Times New Roman"/>
          <w:b/>
          <w:kern w:val="0"/>
          <w:sz w:val="21"/>
          <w:szCs w:val="21"/>
        </w:rPr>
        <w:t>9.2 对投标人的纪律要求</w:t>
      </w:r>
      <w:bookmarkEnd w:id="192"/>
      <w:bookmarkEnd w:id="193"/>
      <w:bookmarkEnd w:id="194"/>
      <w:bookmarkEnd w:id="195"/>
      <w:bookmarkEnd w:id="196"/>
      <w:bookmarkEnd w:id="197"/>
    </w:p>
    <w:p w14:paraId="3DE2A5C6">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3AFE7C50">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b/>
          <w:kern w:val="0"/>
          <w:sz w:val="21"/>
          <w:szCs w:val="21"/>
        </w:rPr>
      </w:pPr>
      <w:bookmarkStart w:id="198" w:name="_Toc325636628"/>
      <w:bookmarkStart w:id="199" w:name="_Toc23543"/>
      <w:bookmarkStart w:id="200" w:name="_Toc334774210"/>
      <w:bookmarkStart w:id="201" w:name="_Toc317863470"/>
      <w:bookmarkStart w:id="202" w:name="_Toc200513175"/>
      <w:bookmarkStart w:id="203" w:name="_Toc531594776"/>
      <w:r>
        <w:rPr>
          <w:rFonts w:ascii="Times New Roman" w:hAnsi="Times New Roman" w:eastAsia="方正仿宋_GBK" w:cs="Times New Roman"/>
          <w:b/>
          <w:kern w:val="0"/>
          <w:sz w:val="21"/>
          <w:szCs w:val="21"/>
        </w:rPr>
        <w:t>9.3 对评标委员会成员的纪律要求</w:t>
      </w:r>
      <w:bookmarkEnd w:id="198"/>
      <w:bookmarkEnd w:id="199"/>
      <w:bookmarkEnd w:id="200"/>
      <w:bookmarkEnd w:id="201"/>
      <w:bookmarkEnd w:id="202"/>
      <w:bookmarkEnd w:id="203"/>
    </w:p>
    <w:p w14:paraId="4FF3EBAB">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评标委员会成员不得收受他人的财物或者其他好处，不得向他人透漏对投标文件的评审和比较、中标候选人的推荐情况以及评标有关的其他情况。在评标活动中，评标委员会成员不得擅离职守，影响评标程序正常进行。</w:t>
      </w:r>
    </w:p>
    <w:p w14:paraId="5BA4DA75">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b/>
          <w:kern w:val="0"/>
          <w:sz w:val="21"/>
          <w:szCs w:val="21"/>
        </w:rPr>
      </w:pPr>
      <w:bookmarkStart w:id="204" w:name="_Toc325636629"/>
      <w:bookmarkStart w:id="205" w:name="_Toc334774211"/>
      <w:bookmarkStart w:id="206" w:name="_Toc531594777"/>
      <w:bookmarkStart w:id="207" w:name="_Toc13285"/>
      <w:bookmarkStart w:id="208" w:name="_Toc200513176"/>
      <w:bookmarkStart w:id="209" w:name="_Toc317863471"/>
      <w:bookmarkStart w:id="210" w:name="_Toc18783"/>
      <w:r>
        <w:rPr>
          <w:rFonts w:ascii="Times New Roman" w:hAnsi="Times New Roman" w:eastAsia="方正仿宋_GBK" w:cs="Times New Roman"/>
          <w:b/>
          <w:kern w:val="0"/>
          <w:sz w:val="21"/>
          <w:szCs w:val="21"/>
        </w:rPr>
        <w:t>9.4 对与评标活动有关的工作人员的纪律要求</w:t>
      </w:r>
      <w:bookmarkEnd w:id="204"/>
      <w:bookmarkEnd w:id="205"/>
      <w:bookmarkEnd w:id="206"/>
      <w:bookmarkEnd w:id="207"/>
      <w:bookmarkEnd w:id="208"/>
      <w:bookmarkEnd w:id="209"/>
      <w:bookmarkEnd w:id="210"/>
    </w:p>
    <w:p w14:paraId="5E5DA473">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497AC9D6">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b/>
          <w:kern w:val="0"/>
          <w:sz w:val="21"/>
          <w:szCs w:val="21"/>
        </w:rPr>
      </w:pPr>
      <w:bookmarkStart w:id="211" w:name="_Toc325636630"/>
      <w:bookmarkStart w:id="212" w:name="_Toc200513177"/>
      <w:bookmarkStart w:id="213" w:name="_Toc531594778"/>
      <w:bookmarkStart w:id="214" w:name="_Toc334774212"/>
      <w:bookmarkStart w:id="215" w:name="_Toc17360"/>
      <w:bookmarkStart w:id="216" w:name="_Toc13124"/>
      <w:bookmarkStart w:id="217" w:name="_Toc317863472"/>
      <w:r>
        <w:rPr>
          <w:rFonts w:ascii="Times New Roman" w:hAnsi="Times New Roman" w:eastAsia="方正仿宋_GBK" w:cs="Times New Roman"/>
          <w:b/>
          <w:kern w:val="0"/>
          <w:sz w:val="21"/>
          <w:szCs w:val="21"/>
        </w:rPr>
        <w:t>9.5 投诉</w:t>
      </w:r>
      <w:bookmarkEnd w:id="211"/>
      <w:bookmarkEnd w:id="212"/>
      <w:bookmarkEnd w:id="213"/>
      <w:bookmarkEnd w:id="214"/>
      <w:bookmarkEnd w:id="215"/>
      <w:bookmarkEnd w:id="216"/>
      <w:bookmarkEnd w:id="217"/>
    </w:p>
    <w:p w14:paraId="069DEC77">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投标人和其他利害关系人认为本次招标活动违反法律、法规和规章规定的，有权向学院有关行政监督部门投诉。</w:t>
      </w:r>
    </w:p>
    <w:p w14:paraId="73853CE9">
      <w:pPr>
        <w:autoSpaceDE w:val="0"/>
        <w:autoSpaceDN w:val="0"/>
        <w:adjustRightInd w:val="0"/>
        <w:snapToGrid w:val="0"/>
        <w:spacing w:line="240" w:lineRule="exact"/>
        <w:ind w:firstLine="414" w:firstLineChars="200"/>
        <w:jc w:val="left"/>
        <w:outlineLvl w:val="1"/>
        <w:rPr>
          <w:rFonts w:ascii="Times New Roman" w:hAnsi="Times New Roman" w:eastAsia="方正楷体_GBK" w:cs="Times New Roman"/>
          <w:b/>
          <w:w w:val="99"/>
          <w:kern w:val="0"/>
          <w:sz w:val="21"/>
          <w:szCs w:val="21"/>
          <w:lang w:val="zh-CN"/>
        </w:rPr>
      </w:pPr>
      <w:bookmarkStart w:id="218" w:name="_Toc531594779"/>
      <w:bookmarkStart w:id="219" w:name="_Toc14201"/>
      <w:bookmarkStart w:id="220" w:name="_Toc334774213"/>
      <w:bookmarkStart w:id="221" w:name="_Toc6107"/>
      <w:r>
        <w:rPr>
          <w:rFonts w:ascii="Times New Roman" w:hAnsi="Times New Roman" w:eastAsia="方正楷体_GBK" w:cs="Times New Roman"/>
          <w:b/>
          <w:w w:val="99"/>
          <w:kern w:val="0"/>
          <w:sz w:val="21"/>
          <w:szCs w:val="21"/>
          <w:lang w:val="zh-CN"/>
        </w:rPr>
        <w:t>10.其他</w:t>
      </w:r>
      <w:bookmarkEnd w:id="218"/>
      <w:bookmarkEnd w:id="219"/>
      <w:bookmarkEnd w:id="220"/>
      <w:bookmarkEnd w:id="221"/>
    </w:p>
    <w:p w14:paraId="597EB2E0">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其他补充内容要求见投标人需知内容和前附表。</w:t>
      </w:r>
    </w:p>
    <w:p w14:paraId="6CA11B81">
      <w:pPr>
        <w:autoSpaceDE w:val="0"/>
        <w:autoSpaceDN w:val="0"/>
        <w:adjustRightInd w:val="0"/>
        <w:snapToGrid w:val="0"/>
        <w:spacing w:before="16" w:line="240" w:lineRule="exact"/>
        <w:jc w:val="left"/>
        <w:outlineLvl w:val="2"/>
        <w:rPr>
          <w:rFonts w:ascii="Times New Roman" w:hAnsi="Times New Roman" w:eastAsia="方正仿宋_GBK" w:cs="Times New Roman"/>
          <w:kern w:val="0"/>
          <w:sz w:val="32"/>
          <w:szCs w:val="32"/>
        </w:rPr>
      </w:pPr>
    </w:p>
    <w:p w14:paraId="7BA925C9">
      <w:pPr>
        <w:autoSpaceDE w:val="0"/>
        <w:autoSpaceDN w:val="0"/>
        <w:adjustRightInd w:val="0"/>
        <w:snapToGrid w:val="0"/>
        <w:spacing w:before="16" w:line="240" w:lineRule="exact"/>
        <w:jc w:val="left"/>
        <w:outlineLvl w:val="2"/>
        <w:rPr>
          <w:rFonts w:ascii="Times New Roman" w:hAnsi="Times New Roman" w:eastAsia="方正仿宋_GBK" w:cs="Times New Roman"/>
          <w:kern w:val="0"/>
          <w:sz w:val="32"/>
          <w:szCs w:val="32"/>
        </w:rPr>
      </w:pPr>
    </w:p>
    <w:p w14:paraId="231B8F06">
      <w:pPr>
        <w:spacing w:line="240" w:lineRule="exact"/>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br w:type="page"/>
      </w:r>
    </w:p>
    <w:p w14:paraId="04A98490">
      <w:pPr>
        <w:pStyle w:val="2"/>
        <w:numPr>
          <w:ilvl w:val="0"/>
          <w:numId w:val="0"/>
        </w:numPr>
        <w:spacing w:before="0" w:after="0" w:line="600" w:lineRule="exact"/>
        <w:ind w:firstLine="880" w:firstLineChars="200"/>
        <w:jc w:val="center"/>
        <w:rPr>
          <w:rFonts w:ascii="Times New Roman" w:hAnsi="Times New Roman" w:eastAsia="方正小标宋_GBK" w:cs="Times New Roman"/>
        </w:rPr>
      </w:pPr>
      <w:bookmarkStart w:id="222" w:name="_Toc10725332"/>
      <w:bookmarkStart w:id="223" w:name="_第三章_招标数量及参数要求"/>
      <w:r>
        <w:rPr>
          <w:rFonts w:ascii="Times New Roman" w:hAnsi="Times New Roman" w:eastAsia="方正小标宋_GBK" w:cs="Times New Roman"/>
        </w:rPr>
        <w:t>第三章 招标数量及参数要求</w:t>
      </w:r>
      <w:bookmarkEnd w:id="222"/>
    </w:p>
    <w:bookmarkEnd w:id="223"/>
    <w:p w14:paraId="5C707FB5"/>
    <w:p w14:paraId="39C9B4EE">
      <w:pPr>
        <w:spacing w:line="600" w:lineRule="exact"/>
        <w:jc w:val="left"/>
        <w:rPr>
          <w:rFonts w:ascii="Times New Roman" w:hAnsi="Times New Roman" w:eastAsia="方正黑体_GBK" w:cs="Times New Roman"/>
          <w:b/>
          <w:sz w:val="32"/>
          <w:szCs w:val="32"/>
        </w:rPr>
      </w:pPr>
      <w:r>
        <w:rPr>
          <w:rFonts w:ascii="Times New Roman" w:hAnsi="Times New Roman" w:eastAsia="方正黑体_GBK" w:cs="Times New Roman"/>
          <w:b/>
          <w:sz w:val="32"/>
          <w:szCs w:val="32"/>
        </w:rPr>
        <w:t>一、</w:t>
      </w:r>
      <w:r>
        <w:rPr>
          <w:rFonts w:hint="eastAsia" w:ascii="Times New Roman" w:hAnsi="Times New Roman" w:eastAsia="方正黑体_GBK" w:cs="Times New Roman"/>
          <w:b/>
          <w:sz w:val="32"/>
          <w:szCs w:val="32"/>
        </w:rPr>
        <w:t>项目名称及数量</w:t>
      </w:r>
    </w:p>
    <w:tbl>
      <w:tblPr>
        <w:tblStyle w:val="42"/>
        <w:tblW w:w="5023"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09"/>
        <w:gridCol w:w="4697"/>
        <w:gridCol w:w="1726"/>
        <w:gridCol w:w="1727"/>
      </w:tblGrid>
      <w:tr w14:paraId="199EA4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99" w:type="pct"/>
            <w:tcBorders>
              <w:top w:val="single" w:color="000000" w:sz="4" w:space="0"/>
              <w:left w:val="single" w:color="000000" w:sz="4" w:space="0"/>
              <w:bottom w:val="single" w:color="000000" w:sz="4" w:space="0"/>
              <w:right w:val="single" w:color="000000" w:sz="4" w:space="0"/>
            </w:tcBorders>
            <w:vAlign w:val="center"/>
          </w:tcPr>
          <w:p w14:paraId="53AD6745">
            <w:pPr>
              <w:spacing w:line="360" w:lineRule="atLeast"/>
              <w:jc w:val="center"/>
              <w:rPr>
                <w:rFonts w:hint="eastAsia" w:ascii="宋体" w:hAnsi="宋体" w:cs="宋体"/>
                <w:b/>
                <w:sz w:val="21"/>
                <w:szCs w:val="21"/>
              </w:rPr>
            </w:pPr>
            <w:r>
              <w:rPr>
                <w:rFonts w:hint="eastAsia" w:ascii="宋体" w:hAnsi="宋体" w:cs="宋体"/>
                <w:b/>
                <w:sz w:val="21"/>
                <w:szCs w:val="21"/>
              </w:rPr>
              <w:t>序号</w:t>
            </w:r>
          </w:p>
        </w:tc>
        <w:tc>
          <w:tcPr>
            <w:tcW w:w="2536" w:type="pct"/>
            <w:tcBorders>
              <w:top w:val="single" w:color="000000" w:sz="4" w:space="0"/>
              <w:left w:val="single" w:color="000000" w:sz="4" w:space="0"/>
              <w:bottom w:val="single" w:color="000000" w:sz="4" w:space="0"/>
              <w:right w:val="single" w:color="000000" w:sz="4" w:space="0"/>
            </w:tcBorders>
            <w:vAlign w:val="center"/>
          </w:tcPr>
          <w:p w14:paraId="212812BF">
            <w:pPr>
              <w:spacing w:line="360" w:lineRule="atLeast"/>
              <w:jc w:val="center"/>
              <w:rPr>
                <w:rFonts w:hint="eastAsia" w:ascii="宋体" w:hAnsi="宋体" w:cs="宋体"/>
                <w:b/>
                <w:sz w:val="21"/>
                <w:szCs w:val="21"/>
              </w:rPr>
            </w:pPr>
            <w:r>
              <w:rPr>
                <w:rFonts w:hint="eastAsia" w:ascii="宋体" w:hAnsi="宋体" w:cs="宋体"/>
                <w:b/>
                <w:sz w:val="21"/>
                <w:szCs w:val="21"/>
              </w:rPr>
              <w:t>名称</w:t>
            </w:r>
          </w:p>
        </w:tc>
        <w:tc>
          <w:tcPr>
            <w:tcW w:w="932" w:type="pct"/>
            <w:tcBorders>
              <w:top w:val="single" w:color="000000" w:sz="4" w:space="0"/>
              <w:left w:val="single" w:color="000000" w:sz="4" w:space="0"/>
              <w:bottom w:val="single" w:color="000000" w:sz="4" w:space="0"/>
              <w:right w:val="single" w:color="auto" w:sz="4" w:space="0"/>
            </w:tcBorders>
            <w:vAlign w:val="center"/>
          </w:tcPr>
          <w:p w14:paraId="2F20E05E">
            <w:pPr>
              <w:spacing w:line="360" w:lineRule="atLeast"/>
              <w:jc w:val="center"/>
              <w:rPr>
                <w:rFonts w:hint="eastAsia" w:ascii="宋体" w:hAnsi="宋体" w:cs="宋体"/>
                <w:b/>
                <w:sz w:val="21"/>
                <w:szCs w:val="21"/>
              </w:rPr>
            </w:pPr>
            <w:r>
              <w:rPr>
                <w:rFonts w:hint="eastAsia" w:ascii="宋体" w:hAnsi="宋体" w:cs="宋体"/>
                <w:b/>
                <w:sz w:val="21"/>
                <w:szCs w:val="21"/>
              </w:rPr>
              <w:t>数量</w:t>
            </w:r>
          </w:p>
        </w:tc>
        <w:tc>
          <w:tcPr>
            <w:tcW w:w="932" w:type="pct"/>
            <w:tcBorders>
              <w:top w:val="single" w:color="000000" w:sz="4" w:space="0"/>
              <w:left w:val="single" w:color="000000" w:sz="4" w:space="0"/>
              <w:bottom w:val="single" w:color="000000" w:sz="4" w:space="0"/>
              <w:right w:val="single" w:color="auto" w:sz="4" w:space="0"/>
            </w:tcBorders>
          </w:tcPr>
          <w:p w14:paraId="69141C5F">
            <w:pPr>
              <w:spacing w:line="360" w:lineRule="atLeast"/>
              <w:jc w:val="center"/>
              <w:rPr>
                <w:rFonts w:hint="eastAsia" w:ascii="宋体" w:hAnsi="宋体" w:cs="宋体"/>
                <w:b/>
                <w:sz w:val="21"/>
                <w:szCs w:val="21"/>
              </w:rPr>
            </w:pPr>
            <w:r>
              <w:rPr>
                <w:rFonts w:hint="eastAsia" w:ascii="宋体" w:hAnsi="宋体" w:cs="宋体"/>
                <w:b/>
                <w:sz w:val="21"/>
                <w:szCs w:val="21"/>
              </w:rPr>
              <w:t>备注</w:t>
            </w:r>
          </w:p>
        </w:tc>
      </w:tr>
      <w:tr w14:paraId="61A766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599" w:type="pct"/>
            <w:tcBorders>
              <w:top w:val="single" w:color="000000" w:sz="4" w:space="0"/>
              <w:left w:val="single" w:color="000000" w:sz="4" w:space="0"/>
              <w:bottom w:val="single" w:color="000000" w:sz="4" w:space="0"/>
              <w:right w:val="single" w:color="000000" w:sz="4" w:space="0"/>
            </w:tcBorders>
            <w:vAlign w:val="center"/>
          </w:tcPr>
          <w:p w14:paraId="2E1DABD9">
            <w:pPr>
              <w:spacing w:line="360" w:lineRule="atLeast"/>
              <w:jc w:val="center"/>
              <w:rPr>
                <w:rFonts w:hint="eastAsia" w:ascii="宋体" w:hAnsi="宋体" w:cs="宋体"/>
                <w:sz w:val="21"/>
                <w:szCs w:val="21"/>
              </w:rPr>
            </w:pPr>
            <w:r>
              <w:rPr>
                <w:rFonts w:hint="eastAsia" w:ascii="宋体" w:hAnsi="宋体" w:cs="宋体"/>
                <w:sz w:val="21"/>
                <w:szCs w:val="21"/>
              </w:rPr>
              <w:t>1</w:t>
            </w:r>
          </w:p>
        </w:tc>
        <w:tc>
          <w:tcPr>
            <w:tcW w:w="2536" w:type="pct"/>
            <w:tcBorders>
              <w:top w:val="single" w:color="000000" w:sz="4" w:space="0"/>
              <w:left w:val="single" w:color="000000" w:sz="4" w:space="0"/>
              <w:bottom w:val="single" w:color="000000" w:sz="4" w:space="0"/>
              <w:right w:val="single" w:color="000000" w:sz="4" w:space="0"/>
            </w:tcBorders>
            <w:vAlign w:val="center"/>
          </w:tcPr>
          <w:p w14:paraId="14BF8416">
            <w:pPr>
              <w:spacing w:line="360" w:lineRule="atLeast"/>
              <w:jc w:val="center"/>
              <w:rPr>
                <w:rFonts w:hint="eastAsia" w:ascii="宋体" w:hAnsi="宋体" w:cs="宋体"/>
                <w:sz w:val="21"/>
                <w:szCs w:val="21"/>
              </w:rPr>
            </w:pPr>
            <w:r>
              <w:rPr>
                <w:rFonts w:hint="eastAsia" w:ascii="宋体" w:hAnsi="宋体" w:cs="宋体"/>
                <w:sz w:val="21"/>
                <w:szCs w:val="21"/>
              </w:rPr>
              <w:t>人力资源管理与服务平台</w:t>
            </w:r>
          </w:p>
        </w:tc>
        <w:tc>
          <w:tcPr>
            <w:tcW w:w="932" w:type="pct"/>
            <w:tcBorders>
              <w:top w:val="single" w:color="000000" w:sz="4" w:space="0"/>
              <w:left w:val="single" w:color="000000" w:sz="4" w:space="0"/>
              <w:bottom w:val="single" w:color="000000" w:sz="4" w:space="0"/>
              <w:right w:val="single" w:color="auto" w:sz="4" w:space="0"/>
            </w:tcBorders>
            <w:vAlign w:val="center"/>
          </w:tcPr>
          <w:p w14:paraId="1E43C0CC">
            <w:pPr>
              <w:spacing w:line="360" w:lineRule="atLeast"/>
              <w:jc w:val="center"/>
              <w:rPr>
                <w:rFonts w:hint="eastAsia" w:ascii="宋体" w:hAnsi="宋体" w:cs="宋体"/>
                <w:sz w:val="21"/>
                <w:szCs w:val="21"/>
              </w:rPr>
            </w:pPr>
            <w:r>
              <w:rPr>
                <w:rFonts w:hint="eastAsia" w:ascii="宋体" w:hAnsi="宋体" w:cs="宋体"/>
                <w:sz w:val="21"/>
                <w:szCs w:val="21"/>
              </w:rPr>
              <w:t>1套</w:t>
            </w:r>
          </w:p>
        </w:tc>
        <w:tc>
          <w:tcPr>
            <w:tcW w:w="932" w:type="pct"/>
            <w:tcBorders>
              <w:top w:val="single" w:color="000000" w:sz="4" w:space="0"/>
              <w:left w:val="single" w:color="000000" w:sz="4" w:space="0"/>
              <w:bottom w:val="single" w:color="000000" w:sz="4" w:space="0"/>
              <w:right w:val="single" w:color="auto" w:sz="4" w:space="0"/>
            </w:tcBorders>
          </w:tcPr>
          <w:p w14:paraId="7C6FA271">
            <w:pPr>
              <w:spacing w:line="360" w:lineRule="atLeast"/>
              <w:jc w:val="center"/>
              <w:rPr>
                <w:rFonts w:hint="eastAsia" w:ascii="宋体" w:hAnsi="宋体" w:cs="宋体"/>
                <w:sz w:val="21"/>
                <w:szCs w:val="21"/>
              </w:rPr>
            </w:pPr>
            <w:r>
              <w:rPr>
                <w:rFonts w:hint="eastAsia" w:ascii="宋体" w:hAnsi="宋体" w:cs="宋体"/>
                <w:sz w:val="21"/>
                <w:szCs w:val="21"/>
              </w:rPr>
              <w:t>无</w:t>
            </w:r>
          </w:p>
        </w:tc>
      </w:tr>
    </w:tbl>
    <w:p w14:paraId="2CB98FE0">
      <w:pPr>
        <w:widowControl/>
        <w:spacing w:line="520" w:lineRule="exact"/>
        <w:jc w:val="left"/>
        <w:rPr>
          <w:rFonts w:ascii="Times New Roman" w:hAnsi="Times New Roman" w:eastAsia="方正黑体_GBK" w:cs="Times New Roman"/>
          <w:b/>
          <w:sz w:val="32"/>
          <w:szCs w:val="32"/>
        </w:rPr>
      </w:pPr>
      <w:r>
        <w:rPr>
          <w:rFonts w:hint="eastAsia" w:ascii="Times New Roman" w:hAnsi="Times New Roman" w:eastAsia="方正黑体_GBK" w:cs="Times New Roman"/>
          <w:b/>
          <w:sz w:val="32"/>
          <w:szCs w:val="32"/>
        </w:rPr>
        <w:t>二、技术要求</w:t>
      </w:r>
    </w:p>
    <w:tbl>
      <w:tblPr>
        <w:tblStyle w:val="42"/>
        <w:tblW w:w="4622"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3"/>
        <w:gridCol w:w="791"/>
        <w:gridCol w:w="7046"/>
      </w:tblGrid>
      <w:tr w14:paraId="30FA76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01" w:type="pct"/>
            <w:tcBorders>
              <w:top w:val="single" w:color="000000" w:sz="4" w:space="0"/>
              <w:left w:val="single" w:color="000000" w:sz="4" w:space="0"/>
              <w:bottom w:val="single" w:color="000000" w:sz="4" w:space="0"/>
              <w:right w:val="single" w:color="000000" w:sz="4" w:space="0"/>
            </w:tcBorders>
            <w:vAlign w:val="center"/>
          </w:tcPr>
          <w:p w14:paraId="257E5396">
            <w:pPr>
              <w:spacing w:line="520" w:lineRule="exact"/>
              <w:jc w:val="center"/>
              <w:rPr>
                <w:rFonts w:hint="eastAsia" w:ascii="宋体" w:hAnsi="宋体" w:cs="宋体"/>
                <w:b/>
                <w:sz w:val="21"/>
                <w:szCs w:val="21"/>
              </w:rPr>
            </w:pPr>
            <w:r>
              <w:rPr>
                <w:rFonts w:hint="eastAsia" w:ascii="宋体" w:hAnsi="宋体" w:cs="宋体"/>
                <w:b/>
                <w:sz w:val="21"/>
                <w:szCs w:val="21"/>
              </w:rPr>
              <w:t>序号</w:t>
            </w:r>
          </w:p>
        </w:tc>
        <w:tc>
          <w:tcPr>
            <w:tcW w:w="464" w:type="pct"/>
            <w:tcBorders>
              <w:top w:val="single" w:color="000000" w:sz="4" w:space="0"/>
              <w:left w:val="single" w:color="000000" w:sz="4" w:space="0"/>
              <w:bottom w:val="single" w:color="000000" w:sz="4" w:space="0"/>
              <w:right w:val="single" w:color="000000" w:sz="4" w:space="0"/>
            </w:tcBorders>
            <w:vAlign w:val="center"/>
          </w:tcPr>
          <w:p w14:paraId="285EC176">
            <w:pPr>
              <w:spacing w:line="520" w:lineRule="exact"/>
              <w:jc w:val="center"/>
              <w:rPr>
                <w:rFonts w:hint="eastAsia" w:ascii="宋体" w:hAnsi="宋体" w:cs="宋体"/>
                <w:b/>
                <w:sz w:val="21"/>
                <w:szCs w:val="21"/>
              </w:rPr>
            </w:pPr>
            <w:r>
              <w:rPr>
                <w:rFonts w:hint="eastAsia" w:ascii="宋体" w:hAnsi="宋体" w:cs="宋体"/>
                <w:b/>
                <w:sz w:val="21"/>
                <w:szCs w:val="21"/>
              </w:rPr>
              <w:t>名称</w:t>
            </w:r>
          </w:p>
        </w:tc>
        <w:tc>
          <w:tcPr>
            <w:tcW w:w="4135" w:type="pct"/>
            <w:tcBorders>
              <w:top w:val="single" w:color="000000" w:sz="4" w:space="0"/>
              <w:left w:val="single" w:color="000000" w:sz="4" w:space="0"/>
              <w:bottom w:val="single" w:color="000000" w:sz="4" w:space="0"/>
              <w:right w:val="single" w:color="auto" w:sz="4" w:space="0"/>
            </w:tcBorders>
            <w:vAlign w:val="center"/>
          </w:tcPr>
          <w:p w14:paraId="1E1910D1">
            <w:pPr>
              <w:spacing w:line="520" w:lineRule="exact"/>
              <w:jc w:val="center"/>
              <w:rPr>
                <w:rFonts w:hint="eastAsia" w:ascii="宋体" w:hAnsi="宋体" w:cs="宋体"/>
                <w:b/>
                <w:sz w:val="21"/>
                <w:szCs w:val="21"/>
              </w:rPr>
            </w:pPr>
            <w:r>
              <w:rPr>
                <w:rFonts w:hint="eastAsia" w:ascii="宋体" w:hAnsi="宋体" w:cs="宋体"/>
                <w:b/>
                <w:sz w:val="21"/>
                <w:szCs w:val="21"/>
              </w:rPr>
              <w:t>技术参数</w:t>
            </w:r>
          </w:p>
        </w:tc>
      </w:tr>
      <w:tr w14:paraId="612DFE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01" w:type="pct"/>
            <w:tcBorders>
              <w:top w:val="single" w:color="000000" w:sz="4" w:space="0"/>
              <w:left w:val="single" w:color="000000" w:sz="4" w:space="0"/>
              <w:bottom w:val="single" w:color="000000" w:sz="4" w:space="0"/>
              <w:right w:val="single" w:color="000000" w:sz="4" w:space="0"/>
            </w:tcBorders>
            <w:vAlign w:val="center"/>
          </w:tcPr>
          <w:p w14:paraId="598DE72E">
            <w:pPr>
              <w:spacing w:line="520" w:lineRule="exact"/>
              <w:jc w:val="center"/>
              <w:rPr>
                <w:rFonts w:hint="eastAsia" w:ascii="宋体" w:hAnsi="宋体" w:cs="宋体" w:eastAsiaTheme="minorEastAsia"/>
                <w:b/>
                <w:sz w:val="21"/>
                <w:szCs w:val="21"/>
              </w:rPr>
            </w:pPr>
            <w:r>
              <w:rPr>
                <w:rFonts w:hint="eastAsia" w:ascii="宋体" w:hAnsi="宋体" w:cs="宋体"/>
                <w:bCs/>
                <w:sz w:val="21"/>
                <w:szCs w:val="21"/>
              </w:rPr>
              <w:t>1</w:t>
            </w:r>
          </w:p>
        </w:tc>
        <w:tc>
          <w:tcPr>
            <w:tcW w:w="464" w:type="pct"/>
            <w:tcBorders>
              <w:top w:val="single" w:color="000000" w:sz="4" w:space="0"/>
              <w:left w:val="single" w:color="000000" w:sz="4" w:space="0"/>
              <w:bottom w:val="single" w:color="000000" w:sz="4" w:space="0"/>
              <w:right w:val="single" w:color="000000" w:sz="4" w:space="0"/>
            </w:tcBorders>
            <w:vAlign w:val="center"/>
          </w:tcPr>
          <w:p w14:paraId="3B127D91">
            <w:pPr>
              <w:spacing w:line="520" w:lineRule="exact"/>
              <w:jc w:val="center"/>
              <w:rPr>
                <w:rFonts w:hint="eastAsia" w:ascii="宋体" w:hAnsi="宋体" w:cs="宋体"/>
                <w:b/>
                <w:sz w:val="21"/>
                <w:szCs w:val="21"/>
              </w:rPr>
            </w:pPr>
            <w:r>
              <w:rPr>
                <w:rFonts w:hint="eastAsia" w:ascii="宋体" w:hAnsi="宋体" w:cs="宋体"/>
                <w:sz w:val="21"/>
                <w:szCs w:val="21"/>
              </w:rPr>
              <w:t>人力资源管理与服务平台</w:t>
            </w:r>
          </w:p>
        </w:tc>
        <w:tc>
          <w:tcPr>
            <w:tcW w:w="4135" w:type="pct"/>
            <w:tcBorders>
              <w:top w:val="single" w:color="000000" w:sz="4" w:space="0"/>
              <w:left w:val="single" w:color="000000" w:sz="4" w:space="0"/>
              <w:bottom w:val="single" w:color="000000" w:sz="4" w:space="0"/>
              <w:right w:val="single" w:color="auto" w:sz="4" w:space="0"/>
            </w:tcBorders>
            <w:vAlign w:val="center"/>
          </w:tcPr>
          <w:p w14:paraId="13CEBAD1">
            <w:pPr>
              <w:spacing w:line="520" w:lineRule="exact"/>
              <w:rPr>
                <w:rFonts w:hint="eastAsia" w:ascii="宋体" w:hAnsi="宋体" w:cs="宋体"/>
                <w:bCs/>
                <w:sz w:val="21"/>
                <w:szCs w:val="21"/>
              </w:rPr>
            </w:pPr>
            <w:r>
              <w:rPr>
                <w:rFonts w:hint="eastAsia" w:ascii="宋体" w:hAnsi="宋体" w:cs="宋体"/>
                <w:bCs/>
                <w:sz w:val="21"/>
                <w:szCs w:val="21"/>
              </w:rPr>
              <w:t>（一）平台架构设计</w:t>
            </w:r>
          </w:p>
          <w:p w14:paraId="7CE18D82">
            <w:pPr>
              <w:spacing w:line="520" w:lineRule="exact"/>
              <w:rPr>
                <w:rFonts w:hint="eastAsia" w:ascii="宋体" w:hAnsi="宋体" w:cs="宋体"/>
                <w:bCs/>
                <w:sz w:val="21"/>
                <w:szCs w:val="21"/>
              </w:rPr>
            </w:pPr>
            <w:r>
              <w:rPr>
                <w:rFonts w:hint="eastAsia" w:ascii="宋体" w:hAnsi="宋体" w:cs="宋体"/>
                <w:bCs/>
                <w:sz w:val="21"/>
                <w:szCs w:val="21"/>
              </w:rPr>
              <w:t>人力资源管理与服务平台是在低代码开发平台的基础上以招聘与人才引进、基础人事管理、师资培养、薪酬福利、岗位评聘、考核与测评为核心，整合科研、教学、财务等其他业务系统的数据和流程，面向全校教职工、校领导、二级单位和相关职能部门提供服务。</w:t>
            </w:r>
          </w:p>
          <w:p w14:paraId="73FEAD28">
            <w:pPr>
              <w:spacing w:line="520" w:lineRule="exact"/>
              <w:rPr>
                <w:rFonts w:hint="eastAsia" w:ascii="宋体" w:hAnsi="宋体" w:cs="宋体"/>
                <w:bCs/>
                <w:sz w:val="21"/>
                <w:szCs w:val="21"/>
              </w:rPr>
            </w:pPr>
            <w:r>
              <w:rPr>
                <w:rFonts w:hint="eastAsia" w:ascii="宋体" w:hAnsi="宋体" w:cs="宋体"/>
                <w:bCs/>
                <w:sz w:val="21"/>
                <w:szCs w:val="21"/>
              </w:rPr>
              <w:t>（二）业务模块内容</w:t>
            </w:r>
          </w:p>
          <w:p w14:paraId="0C45DE55">
            <w:pPr>
              <w:spacing w:line="520" w:lineRule="exact"/>
              <w:rPr>
                <w:rFonts w:hint="eastAsia" w:ascii="宋体" w:hAnsi="宋体" w:cs="宋体"/>
                <w:bCs/>
                <w:sz w:val="21"/>
                <w:szCs w:val="21"/>
              </w:rPr>
            </w:pPr>
            <w:r>
              <w:rPr>
                <w:rFonts w:hint="eastAsia" w:ascii="宋体" w:hAnsi="宋体" w:cs="宋体"/>
                <w:bCs/>
                <w:sz w:val="21"/>
                <w:szCs w:val="21"/>
              </w:rPr>
              <w:t>1.基础人事管理</w:t>
            </w:r>
          </w:p>
          <w:p w14:paraId="6F6F0DA9">
            <w:pPr>
              <w:spacing w:line="520" w:lineRule="exact"/>
              <w:rPr>
                <w:rFonts w:hint="eastAsia" w:ascii="宋体" w:hAnsi="宋体" w:cs="宋体"/>
                <w:bCs/>
                <w:sz w:val="21"/>
                <w:szCs w:val="21"/>
              </w:rPr>
            </w:pPr>
            <w:r>
              <w:rPr>
                <w:rFonts w:hint="eastAsia" w:ascii="宋体" w:hAnsi="宋体" w:cs="宋体"/>
                <w:bCs/>
                <w:sz w:val="21"/>
                <w:szCs w:val="21"/>
              </w:rPr>
              <w:t>基础人事管理涵盖学校日常人事管理工作，主要是为了解决围绕教职工展开的各种基础业务、信息和管理，包括组织机构、教职工信息管理、人事异动管理、合同管理等常用业务。通过系统建设，一是实现教职工数据的全方位管理，二是实现教职工入转调离等基本业务的流程化、智能化管理，能面向全校教职工、校领导、二级单位和相关职能部门提供服务。</w:t>
            </w:r>
          </w:p>
          <w:p w14:paraId="126C01BC">
            <w:pPr>
              <w:spacing w:line="520" w:lineRule="exact"/>
              <w:rPr>
                <w:rFonts w:hint="eastAsia" w:ascii="宋体" w:hAnsi="宋体" w:cs="宋体"/>
                <w:bCs/>
                <w:sz w:val="21"/>
                <w:szCs w:val="21"/>
              </w:rPr>
            </w:pPr>
            <w:r>
              <w:rPr>
                <w:rFonts w:hint="eastAsia" w:ascii="宋体" w:hAnsi="宋体" w:cs="宋体"/>
                <w:bCs/>
                <w:sz w:val="21"/>
                <w:szCs w:val="21"/>
              </w:rPr>
              <w:t>1.1.组织机构管理</w:t>
            </w:r>
          </w:p>
          <w:p w14:paraId="548B4E28">
            <w:pPr>
              <w:spacing w:line="520" w:lineRule="exact"/>
              <w:rPr>
                <w:rFonts w:hint="eastAsia" w:ascii="宋体" w:hAnsi="宋体" w:cs="宋体"/>
                <w:bCs/>
                <w:sz w:val="21"/>
                <w:szCs w:val="21"/>
              </w:rPr>
            </w:pPr>
            <w:r>
              <w:rPr>
                <w:rFonts w:hint="eastAsia" w:ascii="宋体" w:hAnsi="宋体" w:cs="宋体"/>
                <w:bCs/>
                <w:sz w:val="21"/>
                <w:szCs w:val="21"/>
              </w:rPr>
              <w:t>组织机构管理即学校的机构业务管理，包括机构的设置、机构信息的查询以及岗位与编制的管理。</w:t>
            </w:r>
          </w:p>
          <w:p w14:paraId="7F422B98">
            <w:pPr>
              <w:spacing w:line="520" w:lineRule="exact"/>
              <w:rPr>
                <w:rFonts w:hint="eastAsia" w:ascii="宋体" w:hAnsi="宋体" w:cs="宋体"/>
                <w:bCs/>
                <w:sz w:val="21"/>
                <w:szCs w:val="21"/>
              </w:rPr>
            </w:pPr>
            <w:r>
              <w:rPr>
                <w:rFonts w:hint="eastAsia" w:ascii="宋体" w:hAnsi="宋体" w:cs="宋体"/>
                <w:bCs/>
                <w:sz w:val="21"/>
                <w:szCs w:val="21"/>
              </w:rPr>
              <w:t>1.1.1.机构信息管理</w:t>
            </w:r>
          </w:p>
          <w:p w14:paraId="288F68F8">
            <w:pPr>
              <w:spacing w:line="520" w:lineRule="exact"/>
              <w:rPr>
                <w:rFonts w:hint="eastAsia" w:ascii="宋体" w:hAnsi="宋体" w:cs="宋体"/>
                <w:bCs/>
                <w:sz w:val="21"/>
                <w:szCs w:val="21"/>
              </w:rPr>
            </w:pPr>
            <w:r>
              <w:rPr>
                <w:rFonts w:hint="eastAsia" w:ascii="宋体" w:hAnsi="宋体" w:cs="宋体"/>
                <w:bCs/>
                <w:sz w:val="21"/>
                <w:szCs w:val="21"/>
              </w:rPr>
              <w:t>根据学校机构分类与机构设置实现全校的组织机构管理，通过建立机构之间的上下级关系，实现多层级组织机构的设置；支持虚拟机构和历史机构的管理；机构基本信息能够进行编辑、查看；能对机构所属教职工人员信息进行查询与统计。</w:t>
            </w:r>
          </w:p>
          <w:p w14:paraId="20BACA96">
            <w:pPr>
              <w:spacing w:line="520" w:lineRule="exact"/>
              <w:rPr>
                <w:rFonts w:hint="eastAsia" w:ascii="宋体" w:hAnsi="宋体" w:cs="宋体"/>
                <w:bCs/>
                <w:sz w:val="21"/>
                <w:szCs w:val="21"/>
              </w:rPr>
            </w:pPr>
            <w:r>
              <w:rPr>
                <w:rFonts w:hint="eastAsia" w:ascii="宋体" w:hAnsi="宋体" w:cs="宋体"/>
                <w:bCs/>
                <w:sz w:val="21"/>
                <w:szCs w:val="21"/>
              </w:rPr>
              <w:t>①机构设置：对机构编号、机构名称、单位类别、单位地点、上级机构等机构信息进行管理与维护，支持机构设立、撤销、合并等业务的管理，满足日常机构管理的需要；支持多层级组织机构的设置和展示，可形成全校的组织机构图；机构基本信息能够进行填写、编辑、查看等；机构基本信息可以批量导入或导出。</w:t>
            </w:r>
          </w:p>
          <w:p w14:paraId="38FAA3D3">
            <w:pPr>
              <w:spacing w:line="520" w:lineRule="exact"/>
              <w:rPr>
                <w:rFonts w:hint="eastAsia" w:ascii="宋体" w:hAnsi="宋体" w:cs="宋体"/>
                <w:bCs/>
                <w:sz w:val="21"/>
                <w:szCs w:val="21"/>
              </w:rPr>
            </w:pPr>
            <w:r>
              <w:rPr>
                <w:rFonts w:hint="eastAsia" w:ascii="宋体" w:hAnsi="宋体" w:cs="宋体"/>
                <w:bCs/>
                <w:sz w:val="21"/>
                <w:szCs w:val="21"/>
              </w:rPr>
              <w:t>②机构查询与统计：可以对机构信息进行穿透查询，包括现设机构信息、机构历史变更记录等信息查询；机构内设岗位信息查询，可按照机构形成岗位汇报关系图；可对机构所包含的教职工人员任职信息进行查询，查询数据可以Excel格式导出。</w:t>
            </w:r>
          </w:p>
          <w:p w14:paraId="026BAC80">
            <w:pPr>
              <w:spacing w:line="520" w:lineRule="exact"/>
              <w:rPr>
                <w:rFonts w:hint="eastAsia" w:ascii="宋体" w:hAnsi="宋体" w:cs="宋体"/>
                <w:bCs/>
                <w:sz w:val="21"/>
                <w:szCs w:val="21"/>
              </w:rPr>
            </w:pPr>
            <w:r>
              <w:rPr>
                <w:rFonts w:hint="eastAsia" w:ascii="宋体" w:hAnsi="宋体" w:cs="宋体"/>
                <w:bCs/>
                <w:sz w:val="21"/>
                <w:szCs w:val="21"/>
              </w:rPr>
              <w:t>③虚拟机构：可以设置虚拟机构，在统计教职工数量时，虚拟机构人员不在统计范围内。</w:t>
            </w:r>
          </w:p>
          <w:p w14:paraId="77C54B9D">
            <w:pPr>
              <w:spacing w:line="520" w:lineRule="exact"/>
              <w:rPr>
                <w:rFonts w:hint="eastAsia" w:ascii="宋体" w:hAnsi="宋体" w:cs="宋体"/>
                <w:bCs/>
                <w:sz w:val="21"/>
                <w:szCs w:val="21"/>
              </w:rPr>
            </w:pPr>
            <w:r>
              <w:rPr>
                <w:rFonts w:hint="eastAsia" w:ascii="宋体" w:hAnsi="宋体" w:cs="宋体"/>
                <w:bCs/>
                <w:sz w:val="21"/>
                <w:szCs w:val="21"/>
              </w:rPr>
              <w:t>④历史机构：机构撤销后，其信息同步在历史机构库，可以对历史机构库详情信息进行查询。</w:t>
            </w:r>
          </w:p>
          <w:p w14:paraId="66F2D12D">
            <w:pPr>
              <w:spacing w:line="520" w:lineRule="exact"/>
              <w:rPr>
                <w:rFonts w:hint="eastAsia" w:ascii="宋体" w:hAnsi="宋体" w:cs="宋体"/>
                <w:bCs/>
                <w:sz w:val="21"/>
                <w:szCs w:val="21"/>
              </w:rPr>
            </w:pPr>
            <w:r>
              <w:rPr>
                <w:rFonts w:hint="eastAsia" w:ascii="宋体" w:hAnsi="宋体" w:cs="宋体"/>
                <w:bCs/>
                <w:sz w:val="21"/>
                <w:szCs w:val="21"/>
              </w:rPr>
              <w:t>1.1.2.岗位管理</w:t>
            </w:r>
          </w:p>
          <w:p w14:paraId="0C4FA7F5">
            <w:pPr>
              <w:spacing w:line="520" w:lineRule="exact"/>
              <w:rPr>
                <w:rFonts w:hint="eastAsia" w:ascii="宋体" w:hAnsi="宋体" w:cs="宋体"/>
                <w:bCs/>
                <w:sz w:val="21"/>
                <w:szCs w:val="21"/>
              </w:rPr>
            </w:pPr>
            <w:r>
              <w:rPr>
                <w:rFonts w:hint="eastAsia" w:ascii="宋体" w:hAnsi="宋体" w:cs="宋体"/>
                <w:bCs/>
                <w:sz w:val="21"/>
                <w:szCs w:val="21"/>
              </w:rPr>
              <w:t>构建学校岗位体系，支持对岗位进行分类，可以按机构设置岗位名称、岗位类别、上级岗位、岗位数、工作职责、任职资格等内容，支持一人一岗、一人多岗（主岗、兼任），可按机构查看岗位列表及岗位关系图，查看岗位任职人员和岗位说明书，可按机构和按岗位实现编制数、在编人员、缺编人员统计。岗位信息可以导入或导出。</w:t>
            </w:r>
          </w:p>
          <w:p w14:paraId="66EB181A">
            <w:pPr>
              <w:spacing w:line="520" w:lineRule="exact"/>
              <w:rPr>
                <w:rFonts w:hint="eastAsia" w:ascii="宋体" w:hAnsi="宋体" w:cs="宋体"/>
                <w:bCs/>
                <w:sz w:val="21"/>
                <w:szCs w:val="21"/>
              </w:rPr>
            </w:pPr>
            <w:r>
              <w:rPr>
                <w:rFonts w:hint="eastAsia" w:ascii="宋体" w:hAnsi="宋体" w:cs="宋体"/>
                <w:bCs/>
                <w:sz w:val="21"/>
                <w:szCs w:val="21"/>
              </w:rPr>
              <w:t>1.2.教职工信息管理</w:t>
            </w:r>
          </w:p>
          <w:p w14:paraId="64087CD4">
            <w:pPr>
              <w:spacing w:line="520" w:lineRule="exact"/>
              <w:rPr>
                <w:rFonts w:hint="eastAsia" w:ascii="宋体" w:hAnsi="宋体" w:cs="宋体"/>
                <w:bCs/>
                <w:sz w:val="21"/>
                <w:szCs w:val="21"/>
              </w:rPr>
            </w:pPr>
            <w:r>
              <w:rPr>
                <w:rFonts w:hint="eastAsia" w:ascii="宋体" w:hAnsi="宋体" w:cs="宋体"/>
                <w:bCs/>
                <w:sz w:val="21"/>
                <w:szCs w:val="21"/>
              </w:rPr>
              <w:t>教职工信息库是实现学校人力资源信息化管理的数据基础。通过系统可建立全校性的教职工信息库，并实现与组织人事部各科室之间的业务数据共享，以及组织人事部与教务处、科研处等职能部门之间的数据共享。教职工信息库不仅可以体现教职工当前的信息，还能记录历史过程信息，追溯信息的历史过程。</w:t>
            </w:r>
          </w:p>
          <w:p w14:paraId="34A9B39F">
            <w:pPr>
              <w:spacing w:line="520" w:lineRule="exact"/>
              <w:rPr>
                <w:rFonts w:hint="eastAsia" w:ascii="宋体" w:hAnsi="宋体" w:cs="宋体"/>
                <w:bCs/>
                <w:sz w:val="21"/>
                <w:szCs w:val="21"/>
              </w:rPr>
            </w:pPr>
            <w:r>
              <w:rPr>
                <w:rFonts w:hint="eastAsia" w:ascii="宋体" w:hAnsi="宋体" w:cs="宋体"/>
                <w:bCs/>
                <w:sz w:val="21"/>
                <w:szCs w:val="21"/>
              </w:rPr>
              <w:t>1.2.1.教职工信息库</w:t>
            </w:r>
          </w:p>
          <w:p w14:paraId="6D5CB619">
            <w:pPr>
              <w:spacing w:line="520" w:lineRule="exact"/>
              <w:rPr>
                <w:rFonts w:hint="eastAsia" w:ascii="宋体" w:hAnsi="宋体" w:cs="宋体"/>
                <w:bCs/>
                <w:sz w:val="21"/>
                <w:szCs w:val="21"/>
              </w:rPr>
            </w:pPr>
            <w:r>
              <w:rPr>
                <w:rFonts w:hint="eastAsia" w:ascii="宋体" w:hAnsi="宋体" w:cs="宋体"/>
                <w:bCs/>
                <w:sz w:val="21"/>
                <w:szCs w:val="21"/>
              </w:rPr>
              <w:t>基于学校统一的数据治理框架建立全校统一、标准的教职工信息库，可按人员状态、人员分类进行分类管理，比如分为在职人员（在编、非编、博士后、返聘、兼职、高层次人才等）、退休人员、离职人员和去世人员等不同类型人员的信息库。</w:t>
            </w:r>
          </w:p>
          <w:p w14:paraId="18C2C709">
            <w:pPr>
              <w:spacing w:line="520" w:lineRule="exact"/>
              <w:rPr>
                <w:rFonts w:hint="eastAsia" w:ascii="宋体" w:hAnsi="宋体" w:cs="宋体"/>
                <w:bCs/>
                <w:sz w:val="21"/>
                <w:szCs w:val="21"/>
              </w:rPr>
            </w:pPr>
            <w:r>
              <w:rPr>
                <w:rFonts w:hint="eastAsia" w:ascii="宋体" w:hAnsi="宋体" w:cs="宋体"/>
                <w:bCs/>
                <w:sz w:val="21"/>
                <w:szCs w:val="21"/>
              </w:rPr>
              <w:t>（1）人事数据</w:t>
            </w:r>
          </w:p>
          <w:p w14:paraId="035A51C1">
            <w:pPr>
              <w:spacing w:line="520" w:lineRule="exact"/>
              <w:rPr>
                <w:rFonts w:hint="eastAsia" w:ascii="宋体" w:hAnsi="宋体" w:cs="宋体"/>
                <w:bCs/>
                <w:sz w:val="21"/>
                <w:szCs w:val="21"/>
              </w:rPr>
            </w:pPr>
            <w:r>
              <w:rPr>
                <w:rFonts w:hint="eastAsia" w:ascii="宋体" w:hAnsi="宋体" w:cs="宋体"/>
                <w:bCs/>
                <w:sz w:val="21"/>
                <w:szCs w:val="21"/>
              </w:rPr>
              <w:t>教职工信息由基本信息和一系列信息子集组成，子集包括人事信息（含教育经历、工作经历、家庭成员、合同信息、年度考核）、岗位/职务信息（岗位任职、岗位等级、专业技术职务、行政职务）、培养发展信息（含在职学历、出国情况、培训信息、教师资格证、人才称号、学术与社会兼职），专任教师需增设每学期工作量信息、辅导员增设带班信息等，支持相关附件的维护与管理，从而实现教职工信息360度全方位的信息管理。以下为例举的部分信息子集要求：</w:t>
            </w:r>
          </w:p>
          <w:p w14:paraId="3AFF1668">
            <w:pPr>
              <w:spacing w:line="520" w:lineRule="exact"/>
              <w:rPr>
                <w:rFonts w:hint="eastAsia" w:ascii="宋体" w:hAnsi="宋体" w:cs="宋体"/>
                <w:bCs/>
                <w:sz w:val="21"/>
                <w:szCs w:val="21"/>
              </w:rPr>
            </w:pPr>
            <w:r>
              <w:rPr>
                <w:rFonts w:hint="eastAsia" w:ascii="宋体" w:hAnsi="宋体" w:cs="宋体"/>
                <w:bCs/>
                <w:sz w:val="21"/>
                <w:szCs w:val="21"/>
              </w:rPr>
              <w:t>①教育经历：可对教职工教育经历信息进行维护和管理，包括教职工入学毕业学校、入学日期、毕业日期、获得学历、是否最高学历、获得学位、学位层次、是否最高学位、学习形式、学制、所学专业等信息，支持学位证书、学历证书相关附件上传、在线预览和下载，可批量导入、导出信息。</w:t>
            </w:r>
          </w:p>
          <w:p w14:paraId="670B5D95">
            <w:pPr>
              <w:spacing w:line="520" w:lineRule="exact"/>
              <w:rPr>
                <w:rFonts w:hint="eastAsia" w:ascii="宋体" w:hAnsi="宋体" w:cs="宋体"/>
                <w:bCs/>
                <w:sz w:val="21"/>
                <w:szCs w:val="21"/>
              </w:rPr>
            </w:pPr>
            <w:r>
              <w:rPr>
                <w:rFonts w:hint="eastAsia" w:ascii="宋体" w:hAnsi="宋体" w:cs="宋体"/>
                <w:bCs/>
                <w:sz w:val="21"/>
                <w:szCs w:val="21"/>
              </w:rPr>
              <w:t>②工作经历：可对教职工曾经的工作经历进行维护和管理，包括工作单位、起始时间、担任职务、证明人、证明联系电话、承担主要工作等，可批量导入、导出信息。</w:t>
            </w:r>
          </w:p>
          <w:p w14:paraId="3A121A1C">
            <w:pPr>
              <w:spacing w:line="520" w:lineRule="exact"/>
              <w:rPr>
                <w:rFonts w:hint="eastAsia" w:ascii="宋体" w:hAnsi="宋体" w:cs="宋体"/>
                <w:bCs/>
                <w:sz w:val="21"/>
                <w:szCs w:val="21"/>
              </w:rPr>
            </w:pPr>
            <w:r>
              <w:rPr>
                <w:rFonts w:hint="eastAsia" w:ascii="宋体" w:hAnsi="宋体" w:cs="宋体"/>
                <w:bCs/>
                <w:sz w:val="21"/>
                <w:szCs w:val="21"/>
              </w:rPr>
              <w:t>③家庭成员：可对教职工家庭成员信息进行维护和管理，包括配偶、子女等的姓名、成员关系、工作单位、职务、政治面貌等，可批量导入、导出信息。</w:t>
            </w:r>
          </w:p>
          <w:p w14:paraId="63807D1C">
            <w:pPr>
              <w:spacing w:line="520" w:lineRule="exact"/>
              <w:rPr>
                <w:rFonts w:hint="eastAsia" w:ascii="宋体" w:hAnsi="宋体" w:cs="宋体"/>
                <w:bCs/>
                <w:sz w:val="21"/>
                <w:szCs w:val="21"/>
              </w:rPr>
            </w:pPr>
            <w:r>
              <w:rPr>
                <w:rFonts w:hint="eastAsia" w:ascii="宋体" w:hAnsi="宋体" w:cs="宋体"/>
                <w:bCs/>
                <w:sz w:val="21"/>
                <w:szCs w:val="21"/>
              </w:rPr>
              <w:t>④岗位任职：可对教职工曾任的岗位信息进行维护和管理，包括任职部门、岗位类别、任职方式、任职岗位、任职状态、任职起始实践等，可批量导入、导出信息。</w:t>
            </w:r>
          </w:p>
          <w:p w14:paraId="534C8C50">
            <w:pPr>
              <w:spacing w:line="520" w:lineRule="exact"/>
              <w:rPr>
                <w:rFonts w:hint="eastAsia" w:ascii="宋体" w:hAnsi="宋体" w:cs="宋体"/>
                <w:bCs/>
                <w:sz w:val="21"/>
                <w:szCs w:val="21"/>
              </w:rPr>
            </w:pPr>
            <w:r>
              <w:rPr>
                <w:rFonts w:hint="eastAsia" w:ascii="宋体" w:hAnsi="宋体" w:cs="宋体"/>
                <w:bCs/>
                <w:sz w:val="21"/>
                <w:szCs w:val="21"/>
              </w:rPr>
              <w:t>⑤岗位等级：可对教职工历史岗位等级信息进行维护和管理，包括岗位类别、岗位级别、聘任日期等，可批量导入、导出信息。</w:t>
            </w:r>
          </w:p>
          <w:p w14:paraId="3AAFBD8B">
            <w:pPr>
              <w:spacing w:line="520" w:lineRule="exact"/>
              <w:rPr>
                <w:rFonts w:hint="eastAsia" w:ascii="宋体" w:hAnsi="宋体" w:cs="宋体"/>
                <w:bCs/>
                <w:sz w:val="21"/>
                <w:szCs w:val="21"/>
              </w:rPr>
            </w:pPr>
            <w:r>
              <w:rPr>
                <w:rFonts w:hint="eastAsia" w:ascii="宋体" w:hAnsi="宋体" w:cs="宋体"/>
                <w:bCs/>
                <w:sz w:val="21"/>
                <w:szCs w:val="21"/>
              </w:rPr>
              <w:t>⑥专业技术职务：可对教职工曾经获得的职称信息进行维护和管理，包括专业技术职务、专业技术职务级别、评定单位、评定日期、证书编号、是否当前职称等，可批量导入、导出信息。</w:t>
            </w:r>
          </w:p>
          <w:p w14:paraId="0307473B">
            <w:pPr>
              <w:spacing w:line="520" w:lineRule="exact"/>
              <w:rPr>
                <w:rFonts w:hint="eastAsia" w:ascii="宋体" w:hAnsi="宋体" w:cs="宋体"/>
                <w:bCs/>
                <w:sz w:val="21"/>
                <w:szCs w:val="21"/>
              </w:rPr>
            </w:pPr>
            <w:r>
              <w:rPr>
                <w:rFonts w:hint="eastAsia" w:ascii="宋体" w:hAnsi="宋体" w:cs="宋体"/>
                <w:bCs/>
                <w:sz w:val="21"/>
                <w:szCs w:val="21"/>
              </w:rPr>
              <w:t>⑦行政职务：可对教职工曾任行政职务信息进行维护和管理，包括职务名称、任职部门、职务级别、任职时间、免职时间、免职原因等，可批量导入、导出信息。</w:t>
            </w:r>
          </w:p>
          <w:p w14:paraId="49444BB8">
            <w:pPr>
              <w:spacing w:line="520" w:lineRule="exact"/>
              <w:rPr>
                <w:rFonts w:hint="eastAsia" w:ascii="宋体" w:hAnsi="宋体" w:cs="宋体"/>
                <w:bCs/>
                <w:sz w:val="21"/>
                <w:szCs w:val="21"/>
              </w:rPr>
            </w:pPr>
            <w:r>
              <w:rPr>
                <w:rFonts w:hint="eastAsia" w:ascii="宋体" w:hAnsi="宋体" w:cs="宋体"/>
                <w:bCs/>
                <w:sz w:val="21"/>
                <w:szCs w:val="21"/>
              </w:rPr>
              <w:t>⑧合同信息：可对教职工合同信息进行维护和管理，包括合同类型、所在单位、聘期类型、合同期限、开始日期、结束日期、试用期时长、合同状态等，支持合同附件上传、在线预览和下载，可批量导入和导出信息。</w:t>
            </w:r>
          </w:p>
          <w:p w14:paraId="5C19AEE8">
            <w:pPr>
              <w:spacing w:line="520" w:lineRule="exact"/>
              <w:rPr>
                <w:rFonts w:hint="eastAsia" w:ascii="宋体" w:hAnsi="宋体" w:cs="宋体"/>
                <w:bCs/>
                <w:sz w:val="21"/>
                <w:szCs w:val="21"/>
              </w:rPr>
            </w:pPr>
            <w:r>
              <w:rPr>
                <w:rFonts w:hint="eastAsia" w:ascii="宋体" w:hAnsi="宋体" w:cs="宋体"/>
                <w:bCs/>
                <w:sz w:val="21"/>
                <w:szCs w:val="21"/>
              </w:rPr>
              <w:t>⑨出国情况：可对教职工出国信息进行维护和管理，包括国家、出国日期、出国类别、经费来源、邀请单位、出国方式、实际回国日期等，可批量导入和导出信息。</w:t>
            </w:r>
          </w:p>
          <w:p w14:paraId="6057DBB0">
            <w:pPr>
              <w:spacing w:line="520" w:lineRule="exact"/>
              <w:rPr>
                <w:rFonts w:hint="eastAsia" w:ascii="宋体" w:hAnsi="宋体" w:cs="宋体"/>
                <w:bCs/>
                <w:sz w:val="21"/>
                <w:szCs w:val="21"/>
              </w:rPr>
            </w:pPr>
            <w:r>
              <w:rPr>
                <w:rFonts w:hint="eastAsia" w:ascii="宋体" w:hAnsi="宋体" w:cs="宋体"/>
                <w:bCs/>
                <w:sz w:val="21"/>
                <w:szCs w:val="21"/>
              </w:rPr>
              <w:t xml:space="preserve">  ⑩专任教师教学情况：可对专任教师教学信息进行维护和管理，包括任教专业、任教学科、是否“双师”、是否具有高校教师资格证（所有教职工都需要此项信息）、每学期教学工作量、总工作量等，可由教务处批量导入。</w:t>
            </w:r>
          </w:p>
          <w:p w14:paraId="2593CDE0">
            <w:pPr>
              <w:spacing w:line="520" w:lineRule="exact"/>
              <w:rPr>
                <w:rFonts w:hint="eastAsia" w:ascii="宋体" w:hAnsi="宋体" w:cs="宋体"/>
                <w:bCs/>
                <w:sz w:val="21"/>
                <w:szCs w:val="21"/>
              </w:rPr>
            </w:pPr>
            <w:r>
              <w:rPr>
                <w:rFonts w:hint="eastAsia" w:ascii="宋体" w:hAnsi="宋体" w:cs="宋体"/>
                <w:bCs/>
                <w:sz w:val="21"/>
                <w:szCs w:val="21"/>
              </w:rPr>
              <w:t>（2）列表字段设置</w:t>
            </w:r>
          </w:p>
          <w:p w14:paraId="324DC32C">
            <w:pPr>
              <w:spacing w:line="520" w:lineRule="exact"/>
              <w:rPr>
                <w:rFonts w:hint="eastAsia" w:ascii="宋体" w:hAnsi="宋体" w:cs="宋体"/>
                <w:bCs/>
                <w:sz w:val="21"/>
                <w:szCs w:val="21"/>
              </w:rPr>
            </w:pPr>
            <w:r>
              <w:rPr>
                <w:rFonts w:hint="eastAsia" w:ascii="宋体" w:hAnsi="宋体" w:cs="宋体"/>
                <w:bCs/>
                <w:sz w:val="21"/>
                <w:szCs w:val="21"/>
              </w:rPr>
              <w:t>可按照组织人事部工作需要，灵活调整教职工信息列表的显示字段，支持鼠标拖拽的方式对字段进行排序。</w:t>
            </w:r>
          </w:p>
          <w:p w14:paraId="6C453CAF">
            <w:pPr>
              <w:spacing w:line="520" w:lineRule="exact"/>
              <w:rPr>
                <w:rFonts w:hint="eastAsia" w:ascii="宋体" w:hAnsi="宋体" w:cs="宋体"/>
                <w:bCs/>
                <w:sz w:val="21"/>
                <w:szCs w:val="21"/>
              </w:rPr>
            </w:pPr>
            <w:r>
              <w:rPr>
                <w:rFonts w:hint="eastAsia" w:ascii="宋体" w:hAnsi="宋体" w:cs="宋体"/>
                <w:bCs/>
                <w:sz w:val="21"/>
                <w:szCs w:val="21"/>
              </w:rPr>
              <w:t>1.2.2.信息采集与维护</w:t>
            </w:r>
          </w:p>
          <w:p w14:paraId="3735ED47">
            <w:pPr>
              <w:spacing w:line="520" w:lineRule="exact"/>
              <w:rPr>
                <w:rFonts w:hint="eastAsia" w:ascii="宋体" w:hAnsi="宋体" w:cs="宋体"/>
                <w:bCs/>
                <w:sz w:val="21"/>
                <w:szCs w:val="21"/>
              </w:rPr>
            </w:pPr>
            <w:r>
              <w:rPr>
                <w:rFonts w:hint="eastAsia" w:ascii="宋体" w:hAnsi="宋体" w:cs="宋体"/>
                <w:bCs/>
                <w:sz w:val="21"/>
                <w:szCs w:val="21"/>
              </w:rPr>
              <w:t>为保证数据质量的进一步提升，需基于系统建立教职工信息采集与维护机制，不同角色拥有不同信息子集、字段的维护权限；也支持跟人事业务办理进行关联，通过业务自动采集数据。</w:t>
            </w:r>
          </w:p>
          <w:p w14:paraId="2ADC7F42">
            <w:pPr>
              <w:spacing w:line="520" w:lineRule="exact"/>
              <w:rPr>
                <w:rFonts w:hint="eastAsia" w:ascii="宋体" w:hAnsi="宋体" w:cs="宋体"/>
                <w:bCs/>
                <w:sz w:val="21"/>
                <w:szCs w:val="21"/>
              </w:rPr>
            </w:pPr>
            <w:r>
              <w:rPr>
                <w:rFonts w:hint="eastAsia" w:ascii="宋体" w:hAnsi="宋体" w:cs="宋体"/>
                <w:bCs/>
                <w:sz w:val="21"/>
                <w:szCs w:val="21"/>
              </w:rPr>
              <w:t>①通过权限维护信息：教职工信息字段可进行新增、编辑、删除等操作，可按信息字段、子集分配相应的权限给组织人事部不同科室或相关职能部门进行查看和维护。</w:t>
            </w:r>
          </w:p>
          <w:p w14:paraId="680ABEDF">
            <w:pPr>
              <w:spacing w:line="520" w:lineRule="exact"/>
              <w:rPr>
                <w:rFonts w:hint="eastAsia" w:ascii="宋体" w:hAnsi="宋体" w:cs="宋体"/>
                <w:bCs/>
                <w:sz w:val="21"/>
                <w:szCs w:val="21"/>
              </w:rPr>
            </w:pPr>
            <w:r>
              <w:rPr>
                <w:rFonts w:hint="eastAsia" w:ascii="宋体" w:hAnsi="宋体" w:cs="宋体"/>
                <w:bCs/>
                <w:sz w:val="21"/>
                <w:szCs w:val="21"/>
              </w:rPr>
              <w:t>②通过业务采集数据：教职工信息库可以为人事业务办理提供基本信息自动填报，同时业务办理过程与教职工相关信息的变动进行关联，可以通过业务采集数据。</w:t>
            </w:r>
          </w:p>
          <w:p w14:paraId="7F495E2E">
            <w:pPr>
              <w:spacing w:line="520" w:lineRule="exact"/>
              <w:rPr>
                <w:rFonts w:hint="eastAsia" w:ascii="宋体" w:hAnsi="宋体" w:cs="宋体"/>
                <w:bCs/>
                <w:sz w:val="21"/>
                <w:szCs w:val="21"/>
              </w:rPr>
            </w:pPr>
            <w:r>
              <w:rPr>
                <w:rFonts w:hint="eastAsia" w:ascii="宋体" w:hAnsi="宋体" w:cs="宋体"/>
                <w:bCs/>
                <w:sz w:val="21"/>
                <w:szCs w:val="21"/>
              </w:rPr>
              <w:t>1.2.3.教职工信息查询</w:t>
            </w:r>
          </w:p>
          <w:p w14:paraId="3CAEFD80">
            <w:pPr>
              <w:spacing w:line="520" w:lineRule="exact"/>
              <w:rPr>
                <w:rFonts w:hint="eastAsia" w:ascii="宋体" w:hAnsi="宋体" w:cs="宋体"/>
                <w:bCs/>
                <w:sz w:val="21"/>
                <w:szCs w:val="21"/>
              </w:rPr>
            </w:pPr>
            <w:r>
              <w:rPr>
                <w:rFonts w:hint="eastAsia" w:ascii="宋体" w:hAnsi="宋体" w:cs="宋体"/>
                <w:bCs/>
                <w:sz w:val="21"/>
                <w:szCs w:val="21"/>
              </w:rPr>
              <w:t>提供教职工信息的快捷查询、高级查询、常用查询、二次查询等多种查询方式。</w:t>
            </w:r>
          </w:p>
          <w:p w14:paraId="203FFBD5">
            <w:pPr>
              <w:spacing w:line="520" w:lineRule="exact"/>
              <w:rPr>
                <w:rFonts w:hint="eastAsia" w:ascii="宋体" w:hAnsi="宋体" w:cs="宋体"/>
                <w:bCs/>
                <w:sz w:val="21"/>
                <w:szCs w:val="21"/>
              </w:rPr>
            </w:pPr>
            <w:r>
              <w:rPr>
                <w:rFonts w:hint="eastAsia" w:ascii="宋体" w:hAnsi="宋体" w:cs="宋体"/>
                <w:bCs/>
                <w:sz w:val="21"/>
                <w:szCs w:val="21"/>
              </w:rPr>
              <w:t>①简单查询：系统需内置常用字段查询，比如姓名、工作证号、所在单位、人员分类等，通过查询字段实现快速检索；需支持百度式的模糊查询，输入部分查询信息，能快速查询出此类人员。</w:t>
            </w:r>
          </w:p>
          <w:p w14:paraId="51ACD62C">
            <w:pPr>
              <w:spacing w:line="520" w:lineRule="exact"/>
              <w:rPr>
                <w:rFonts w:hint="eastAsia" w:ascii="宋体" w:hAnsi="宋体" w:cs="宋体"/>
                <w:bCs/>
                <w:sz w:val="21"/>
                <w:szCs w:val="21"/>
              </w:rPr>
            </w:pPr>
            <w:r>
              <w:rPr>
                <w:rFonts w:hint="eastAsia" w:ascii="宋体" w:hAnsi="宋体" w:cs="宋体"/>
                <w:bCs/>
                <w:sz w:val="21"/>
                <w:szCs w:val="21"/>
              </w:rPr>
              <w:t>②高级查询：可以按多条件组合查询，可以任意组合筛选条件，比如性别为“男性”且年龄“大于等于30”的人员；支持跨信息子集查询，查询条件和公式能灵活定义；经常要查询的条件组合，可以保存为常用，再查询此类人员时可以一键调出。</w:t>
            </w:r>
          </w:p>
          <w:p w14:paraId="6EA12DDF">
            <w:pPr>
              <w:spacing w:line="520" w:lineRule="exact"/>
              <w:rPr>
                <w:rFonts w:hint="eastAsia" w:ascii="宋体" w:hAnsi="宋体" w:cs="宋体"/>
                <w:bCs/>
                <w:sz w:val="21"/>
                <w:szCs w:val="21"/>
              </w:rPr>
            </w:pPr>
            <w:r>
              <w:rPr>
                <w:rFonts w:hint="eastAsia" w:ascii="宋体" w:hAnsi="宋体" w:cs="宋体"/>
                <w:bCs/>
                <w:sz w:val="21"/>
                <w:szCs w:val="21"/>
              </w:rPr>
              <w:t>③查询结果导出：查询结果可以导出为Excel格式的文件。</w:t>
            </w:r>
          </w:p>
          <w:p w14:paraId="3869C6B0">
            <w:pPr>
              <w:spacing w:line="520" w:lineRule="exact"/>
              <w:rPr>
                <w:rFonts w:hint="eastAsia" w:ascii="宋体" w:hAnsi="宋体" w:cs="宋体"/>
                <w:bCs/>
                <w:sz w:val="21"/>
                <w:szCs w:val="21"/>
              </w:rPr>
            </w:pPr>
            <w:r>
              <w:rPr>
                <w:rFonts w:hint="eastAsia" w:ascii="宋体" w:hAnsi="宋体" w:cs="宋体"/>
                <w:bCs/>
                <w:sz w:val="21"/>
                <w:szCs w:val="21"/>
              </w:rPr>
              <w:t>1.2.4.教职工数据导入导出</w:t>
            </w:r>
          </w:p>
          <w:p w14:paraId="4CF81F62">
            <w:pPr>
              <w:spacing w:line="520" w:lineRule="exact"/>
              <w:rPr>
                <w:rFonts w:hint="eastAsia" w:ascii="宋体" w:hAnsi="宋体" w:cs="宋体"/>
                <w:bCs/>
                <w:sz w:val="21"/>
                <w:szCs w:val="21"/>
              </w:rPr>
            </w:pPr>
            <w:r>
              <w:rPr>
                <w:rFonts w:hint="eastAsia" w:ascii="宋体" w:hAnsi="宋体" w:cs="宋体"/>
                <w:bCs/>
                <w:sz w:val="21"/>
                <w:szCs w:val="21"/>
              </w:rPr>
              <w:t>系统支持教职工信息的Excel文件导入导出功能。</w:t>
            </w:r>
          </w:p>
          <w:p w14:paraId="65D8DD73">
            <w:pPr>
              <w:spacing w:line="520" w:lineRule="exact"/>
              <w:rPr>
                <w:rFonts w:hint="eastAsia" w:ascii="宋体" w:hAnsi="宋体" w:cs="宋体"/>
                <w:bCs/>
                <w:sz w:val="21"/>
                <w:szCs w:val="21"/>
              </w:rPr>
            </w:pPr>
            <w:r>
              <w:rPr>
                <w:rFonts w:hint="eastAsia" w:ascii="宋体" w:hAnsi="宋体" w:cs="宋体"/>
                <w:bCs/>
                <w:sz w:val="21"/>
                <w:szCs w:val="21"/>
              </w:rPr>
              <w:t>①数据导入：导入数据时，可灵活定义导入模式，支持“追加模式”、“更新模式”等数据导入模式；可灵活设置系统字段和Excel字段的匹配对应关系，导入数据有问题时，系统可显示错误位置和错误说明。</w:t>
            </w:r>
          </w:p>
          <w:p w14:paraId="4BB45F5E">
            <w:pPr>
              <w:spacing w:line="520" w:lineRule="exact"/>
              <w:rPr>
                <w:rFonts w:hint="eastAsia" w:ascii="宋体" w:hAnsi="宋体" w:cs="宋体"/>
                <w:bCs/>
                <w:sz w:val="21"/>
                <w:szCs w:val="21"/>
              </w:rPr>
            </w:pPr>
            <w:r>
              <w:rPr>
                <w:rFonts w:hint="eastAsia" w:ascii="宋体" w:hAnsi="宋体" w:cs="宋体"/>
                <w:bCs/>
                <w:sz w:val="21"/>
                <w:szCs w:val="21"/>
              </w:rPr>
              <w:t>②数据导出：导出数据时，可灵活选择导出数据范围和导出字段，经常用的导出内容，可设置为常用导出，下次导出时不用再重复设置，一键调用即可导出所需的内容。</w:t>
            </w:r>
          </w:p>
          <w:p w14:paraId="61BB63C6">
            <w:pPr>
              <w:spacing w:line="520" w:lineRule="exact"/>
              <w:rPr>
                <w:rFonts w:hint="eastAsia" w:ascii="宋体" w:hAnsi="宋体" w:cs="宋体"/>
                <w:bCs/>
                <w:sz w:val="21"/>
                <w:szCs w:val="21"/>
              </w:rPr>
            </w:pPr>
            <w:r>
              <w:rPr>
                <w:rFonts w:hint="eastAsia" w:ascii="宋体" w:hAnsi="宋体" w:cs="宋体"/>
                <w:bCs/>
                <w:sz w:val="21"/>
                <w:szCs w:val="21"/>
              </w:rPr>
              <w:t>1.2.5.教职工信息修改申请与审核</w:t>
            </w:r>
          </w:p>
          <w:p w14:paraId="6CEF9FD5">
            <w:pPr>
              <w:spacing w:line="520" w:lineRule="exact"/>
              <w:rPr>
                <w:rFonts w:hint="eastAsia" w:ascii="宋体" w:hAnsi="宋体" w:cs="宋体"/>
                <w:bCs/>
                <w:sz w:val="21"/>
                <w:szCs w:val="21"/>
              </w:rPr>
            </w:pPr>
            <w:r>
              <w:rPr>
                <w:rFonts w:hint="eastAsia" w:ascii="宋体" w:hAnsi="宋体" w:cs="宋体"/>
                <w:bCs/>
                <w:sz w:val="21"/>
                <w:szCs w:val="21"/>
              </w:rPr>
              <w:t>教职工基本信息和相关信息子集，可开放给教职工个人发起修改，也支持二级单位或组织人事部单个或批量修改教职工信息。</w:t>
            </w:r>
          </w:p>
          <w:p w14:paraId="3FD3A6B7">
            <w:pPr>
              <w:spacing w:line="520" w:lineRule="exact"/>
              <w:rPr>
                <w:rFonts w:hint="eastAsia" w:ascii="宋体" w:hAnsi="宋体" w:cs="宋体"/>
                <w:bCs/>
                <w:sz w:val="21"/>
                <w:szCs w:val="21"/>
              </w:rPr>
            </w:pPr>
            <w:r>
              <w:rPr>
                <w:rFonts w:hint="eastAsia" w:ascii="宋体" w:hAnsi="宋体" w:cs="宋体"/>
                <w:bCs/>
                <w:sz w:val="21"/>
                <w:szCs w:val="21"/>
              </w:rPr>
              <w:t>①个人申请修改：个人可发起教职工信息及子集信息修改申请。</w:t>
            </w:r>
          </w:p>
          <w:p w14:paraId="35AF8988">
            <w:pPr>
              <w:spacing w:line="520" w:lineRule="exact"/>
              <w:rPr>
                <w:rFonts w:hint="eastAsia" w:ascii="宋体" w:hAnsi="宋体" w:cs="宋体"/>
                <w:bCs/>
                <w:sz w:val="21"/>
                <w:szCs w:val="21"/>
              </w:rPr>
            </w:pPr>
            <w:r>
              <w:rPr>
                <w:rFonts w:hint="eastAsia" w:ascii="宋体" w:hAnsi="宋体" w:cs="宋体"/>
                <w:bCs/>
                <w:sz w:val="21"/>
                <w:szCs w:val="21"/>
              </w:rPr>
              <w:t>②二级单位审核：审核本单位教职工提交的信息修改申请，可审核通过、审核不通过及退回修改，可填写审核意见。</w:t>
            </w:r>
          </w:p>
          <w:p w14:paraId="2A3BF216">
            <w:pPr>
              <w:spacing w:line="520" w:lineRule="exact"/>
              <w:rPr>
                <w:rFonts w:hint="eastAsia" w:ascii="宋体" w:hAnsi="宋体" w:cs="宋体"/>
                <w:bCs/>
                <w:sz w:val="21"/>
                <w:szCs w:val="21"/>
              </w:rPr>
            </w:pPr>
            <w:r>
              <w:rPr>
                <w:rFonts w:hint="eastAsia" w:ascii="宋体" w:hAnsi="宋体" w:cs="宋体"/>
                <w:bCs/>
                <w:sz w:val="21"/>
                <w:szCs w:val="21"/>
              </w:rPr>
              <w:t>③学校审核：审核单位审批通过的记录，可审核通过、审核不通过及退回修改，可填写审核意见。</w:t>
            </w:r>
          </w:p>
          <w:p w14:paraId="58C2FB00">
            <w:pPr>
              <w:spacing w:line="520" w:lineRule="exact"/>
              <w:rPr>
                <w:rFonts w:hint="eastAsia" w:ascii="宋体" w:hAnsi="宋体" w:cs="宋体"/>
                <w:bCs/>
                <w:sz w:val="21"/>
                <w:szCs w:val="21"/>
              </w:rPr>
            </w:pPr>
            <w:r>
              <w:rPr>
                <w:rFonts w:hint="eastAsia" w:ascii="宋体" w:hAnsi="宋体" w:cs="宋体"/>
                <w:bCs/>
                <w:sz w:val="21"/>
                <w:szCs w:val="21"/>
              </w:rPr>
              <w:t>④修改记录查询：可对历史所有教职工信息修改记录进行查询，可以查询详情信息修改内容，包括修改字段、修改前内容、修改后内容。</w:t>
            </w:r>
          </w:p>
          <w:p w14:paraId="4B241401">
            <w:pPr>
              <w:spacing w:line="520" w:lineRule="exact"/>
              <w:rPr>
                <w:rFonts w:hint="eastAsia" w:ascii="宋体" w:hAnsi="宋体" w:cs="宋体"/>
                <w:bCs/>
                <w:sz w:val="21"/>
                <w:szCs w:val="21"/>
              </w:rPr>
            </w:pPr>
            <w:r>
              <w:rPr>
                <w:rFonts w:hint="eastAsia" w:ascii="宋体" w:hAnsi="宋体" w:cs="宋体"/>
                <w:bCs/>
                <w:sz w:val="21"/>
                <w:szCs w:val="21"/>
              </w:rPr>
              <w:t>1.2.6.花名册管理</w:t>
            </w:r>
          </w:p>
          <w:p w14:paraId="42203E82">
            <w:pPr>
              <w:spacing w:line="520" w:lineRule="exact"/>
              <w:rPr>
                <w:rFonts w:hint="eastAsia" w:ascii="宋体" w:hAnsi="宋体" w:cs="宋体"/>
                <w:bCs/>
                <w:sz w:val="21"/>
                <w:szCs w:val="21"/>
              </w:rPr>
            </w:pPr>
            <w:r>
              <w:rPr>
                <w:rFonts w:hint="eastAsia" w:ascii="宋体" w:hAnsi="宋体" w:cs="宋体"/>
                <w:bCs/>
                <w:sz w:val="21"/>
                <w:szCs w:val="21"/>
              </w:rPr>
              <w:t>系统需提供花名册制作工具，可以灵活设置花名册的数据范围，可根据多条件组合筛选查询；可以设置花名册的列表字段、排序字段，保存好的花名册，可一键调出想要的人员名单；花名册可以导出为Excel格式。</w:t>
            </w:r>
          </w:p>
          <w:p w14:paraId="6A0ADA64">
            <w:pPr>
              <w:spacing w:line="520" w:lineRule="exact"/>
              <w:rPr>
                <w:rFonts w:hint="eastAsia" w:ascii="宋体" w:hAnsi="宋体" w:cs="宋体"/>
                <w:bCs/>
                <w:sz w:val="21"/>
                <w:szCs w:val="21"/>
              </w:rPr>
            </w:pPr>
            <w:r>
              <w:rPr>
                <w:rFonts w:hint="eastAsia" w:ascii="宋体" w:hAnsi="宋体" w:cs="宋体"/>
                <w:bCs/>
                <w:sz w:val="21"/>
                <w:szCs w:val="21"/>
              </w:rPr>
              <w:t>1.2.7.数据快照</w:t>
            </w:r>
          </w:p>
          <w:p w14:paraId="3D690E03">
            <w:pPr>
              <w:spacing w:line="520" w:lineRule="exact"/>
              <w:rPr>
                <w:rFonts w:hint="eastAsia" w:ascii="宋体" w:hAnsi="宋体" w:cs="宋体"/>
                <w:bCs/>
                <w:sz w:val="21"/>
                <w:szCs w:val="21"/>
              </w:rPr>
            </w:pPr>
            <w:r>
              <w:rPr>
                <w:rFonts w:hint="eastAsia" w:ascii="宋体" w:hAnsi="宋体" w:cs="宋体"/>
                <w:bCs/>
                <w:sz w:val="21"/>
                <w:szCs w:val="21"/>
              </w:rPr>
              <w:t>系统提供数据快照工具，可以生成并保存某个时点的教职工信息，形成快照数据；支持灵活设置快照生成信息，快照数据可查询和导出；并可基于快照数据进行历史数据的对比分析。</w:t>
            </w:r>
          </w:p>
          <w:p w14:paraId="024B6136">
            <w:pPr>
              <w:spacing w:line="520" w:lineRule="exact"/>
              <w:rPr>
                <w:rFonts w:hint="eastAsia" w:ascii="宋体" w:hAnsi="宋体" w:cs="宋体"/>
                <w:bCs/>
                <w:sz w:val="21"/>
                <w:szCs w:val="21"/>
              </w:rPr>
            </w:pPr>
            <w:r>
              <w:rPr>
                <w:rFonts w:hint="eastAsia" w:ascii="宋体" w:hAnsi="宋体" w:cs="宋体"/>
                <w:bCs/>
                <w:sz w:val="21"/>
                <w:szCs w:val="21"/>
              </w:rPr>
              <w:t>1.2.8.统计分析</w:t>
            </w:r>
          </w:p>
          <w:p w14:paraId="20DCF91C">
            <w:pPr>
              <w:spacing w:line="520" w:lineRule="exact"/>
              <w:rPr>
                <w:rFonts w:hint="eastAsia" w:ascii="宋体" w:hAnsi="宋体" w:cs="宋体"/>
                <w:bCs/>
                <w:sz w:val="21"/>
                <w:szCs w:val="21"/>
              </w:rPr>
            </w:pPr>
            <w:r>
              <w:rPr>
                <w:rFonts w:hint="eastAsia" w:ascii="宋体" w:hAnsi="宋体" w:cs="宋体"/>
                <w:bCs/>
                <w:sz w:val="21"/>
                <w:szCs w:val="21"/>
              </w:rPr>
              <w:t>系统内置日常统计图表，比如人员分类分析、部门岗位类别分析、学科分析、户籍分析、职务级别分析、获得学位分析、教职工来源分析等图表，以各专业学生人数为基础，实现生师比的统计功能。统计报表可以在系统中实时查看，报表可以导出和打印。也支持自定义统计分析报表，系统提供灵活快捷的报表制作功能，可通过系统运维工具可直接在网页上设计制作统计报表，包括常见的统计表、饼状图、折线图、柱状图、漏斗图等。</w:t>
            </w:r>
          </w:p>
          <w:p w14:paraId="584D6C42">
            <w:pPr>
              <w:spacing w:line="520" w:lineRule="exact"/>
              <w:rPr>
                <w:rFonts w:hint="eastAsia" w:ascii="宋体" w:hAnsi="宋体" w:cs="宋体"/>
                <w:bCs/>
                <w:sz w:val="21"/>
                <w:szCs w:val="21"/>
              </w:rPr>
            </w:pPr>
            <w:r>
              <w:rPr>
                <w:rFonts w:hint="eastAsia" w:ascii="宋体" w:hAnsi="宋体" w:cs="宋体"/>
                <w:bCs/>
                <w:sz w:val="21"/>
                <w:szCs w:val="21"/>
              </w:rPr>
              <w:t>1.3.人事异动管理</w:t>
            </w:r>
          </w:p>
          <w:p w14:paraId="2D3EFC97">
            <w:pPr>
              <w:spacing w:line="520" w:lineRule="exact"/>
              <w:rPr>
                <w:rFonts w:hint="eastAsia" w:ascii="宋体" w:hAnsi="宋体" w:cs="宋体"/>
                <w:bCs/>
                <w:sz w:val="21"/>
                <w:szCs w:val="21"/>
              </w:rPr>
            </w:pPr>
            <w:r>
              <w:rPr>
                <w:rFonts w:hint="eastAsia" w:ascii="宋体" w:hAnsi="宋体" w:cs="宋体"/>
                <w:bCs/>
                <w:sz w:val="21"/>
                <w:szCs w:val="21"/>
              </w:rPr>
              <w:t>人事异动管理主要是对教职工从入校到离校期间，相关核心业务的管理；主要包括报到入职、试用期转正、岗位调动、离退休、离职、离世信息登记等；支持业务办理过程与教职工相关信息的变动进行关联，实现通过业务办理采集数据。</w:t>
            </w:r>
          </w:p>
          <w:p w14:paraId="646CF3D0">
            <w:pPr>
              <w:spacing w:line="520" w:lineRule="exact"/>
              <w:rPr>
                <w:rFonts w:hint="eastAsia" w:ascii="宋体" w:hAnsi="宋体" w:cs="宋体"/>
                <w:bCs/>
                <w:sz w:val="21"/>
                <w:szCs w:val="21"/>
              </w:rPr>
            </w:pPr>
            <w:r>
              <w:rPr>
                <w:rFonts w:hint="eastAsia" w:ascii="宋体" w:hAnsi="宋体" w:cs="宋体"/>
                <w:bCs/>
                <w:sz w:val="21"/>
                <w:szCs w:val="21"/>
              </w:rPr>
              <w:t>1.3.1.报到入职</w:t>
            </w:r>
          </w:p>
          <w:p w14:paraId="42D24CED">
            <w:pPr>
              <w:spacing w:line="520" w:lineRule="exact"/>
              <w:rPr>
                <w:rFonts w:hint="eastAsia" w:ascii="宋体" w:hAnsi="宋体" w:cs="宋体"/>
                <w:bCs/>
                <w:sz w:val="21"/>
                <w:szCs w:val="21"/>
              </w:rPr>
            </w:pPr>
            <w:r>
              <w:rPr>
                <w:rFonts w:hint="eastAsia" w:ascii="宋体" w:hAnsi="宋体" w:cs="宋体"/>
                <w:bCs/>
                <w:sz w:val="21"/>
                <w:szCs w:val="21"/>
              </w:rPr>
              <w:t>支持以流程化方式完成报到入职的业务办理及过程管理，如先登记报到人员基本信息，生成工号并开通系统账号，然后由报到人员个人填报个人资料，二级单位和组织人事部逐级审核并完善入职人员信息。确认入职后，可发起工资起薪。报到入职还支持批量报到、快捷报到、简历转入报到等多种方式。</w:t>
            </w:r>
          </w:p>
          <w:p w14:paraId="18DDFC30">
            <w:pPr>
              <w:spacing w:line="520" w:lineRule="exact"/>
              <w:rPr>
                <w:rFonts w:hint="eastAsia" w:ascii="宋体" w:hAnsi="宋体" w:cs="宋体"/>
                <w:bCs/>
                <w:sz w:val="21"/>
                <w:szCs w:val="21"/>
              </w:rPr>
            </w:pPr>
            <w:r>
              <w:rPr>
                <w:rFonts w:hint="eastAsia" w:ascii="宋体" w:hAnsi="宋体" w:cs="宋体"/>
                <w:bCs/>
                <w:sz w:val="21"/>
                <w:szCs w:val="21"/>
              </w:rPr>
              <w:t>（1）报到设置</w:t>
            </w:r>
          </w:p>
          <w:p w14:paraId="172079FB">
            <w:pPr>
              <w:spacing w:line="520" w:lineRule="exact"/>
              <w:rPr>
                <w:rFonts w:hint="eastAsia" w:ascii="宋体" w:hAnsi="宋体" w:cs="宋体"/>
                <w:bCs/>
                <w:sz w:val="21"/>
                <w:szCs w:val="21"/>
              </w:rPr>
            </w:pPr>
            <w:r>
              <w:rPr>
                <w:rFonts w:hint="eastAsia" w:ascii="宋体" w:hAnsi="宋体" w:cs="宋体"/>
                <w:bCs/>
                <w:sz w:val="21"/>
                <w:szCs w:val="21"/>
              </w:rPr>
              <w:t>①报到方案设置：可根据不同的人员分类设置不同的报到流程及个人填报资料页面。支持与招聘管理关联，设置简历信息同步方案。</w:t>
            </w:r>
          </w:p>
          <w:p w14:paraId="53F46308">
            <w:pPr>
              <w:spacing w:line="520" w:lineRule="exact"/>
              <w:rPr>
                <w:rFonts w:hint="eastAsia" w:ascii="宋体" w:hAnsi="宋体" w:cs="宋体"/>
                <w:bCs/>
                <w:sz w:val="21"/>
                <w:szCs w:val="21"/>
              </w:rPr>
            </w:pPr>
            <w:r>
              <w:rPr>
                <w:rFonts w:hint="eastAsia" w:ascii="宋体" w:hAnsi="宋体" w:cs="宋体"/>
                <w:bCs/>
                <w:sz w:val="21"/>
                <w:szCs w:val="21"/>
              </w:rPr>
              <w:t>②工号生成规则设置：依据工号生成规则自动生成工号。</w:t>
            </w:r>
          </w:p>
          <w:p w14:paraId="6188035E">
            <w:pPr>
              <w:spacing w:line="520" w:lineRule="exact"/>
              <w:rPr>
                <w:rFonts w:hint="eastAsia" w:ascii="宋体" w:hAnsi="宋体" w:cs="宋体"/>
                <w:bCs/>
                <w:sz w:val="21"/>
                <w:szCs w:val="21"/>
              </w:rPr>
            </w:pPr>
            <w:r>
              <w:rPr>
                <w:rFonts w:hint="eastAsia" w:ascii="宋体" w:hAnsi="宋体" w:cs="宋体"/>
                <w:bCs/>
                <w:sz w:val="21"/>
                <w:szCs w:val="21"/>
              </w:rPr>
              <w:t>③入职办理指引：管理员可在系统内设置入职办理指引，包括办理事项、业务部门、办公地点、联系人、联系电话、业务办理时间，并能上传指引材料；还可以办理入职的位置信息，包括办理图标、指引图片等信息，方便教职工线下入职时，快速办理各项入职手续。</w:t>
            </w:r>
          </w:p>
          <w:p w14:paraId="39F628B5">
            <w:pPr>
              <w:spacing w:line="520" w:lineRule="exact"/>
              <w:rPr>
                <w:rFonts w:hint="eastAsia" w:ascii="宋体" w:hAnsi="宋体" w:cs="宋体"/>
                <w:bCs/>
                <w:sz w:val="21"/>
                <w:szCs w:val="21"/>
              </w:rPr>
            </w:pPr>
            <w:r>
              <w:rPr>
                <w:rFonts w:hint="eastAsia" w:ascii="宋体" w:hAnsi="宋体" w:cs="宋体"/>
                <w:bCs/>
                <w:sz w:val="21"/>
                <w:szCs w:val="21"/>
              </w:rPr>
              <w:t>（2）报到登记</w:t>
            </w:r>
          </w:p>
          <w:p w14:paraId="33846F63">
            <w:pPr>
              <w:spacing w:line="520" w:lineRule="exact"/>
              <w:rPr>
                <w:rFonts w:hint="eastAsia" w:ascii="宋体" w:hAnsi="宋体" w:cs="宋体"/>
                <w:bCs/>
                <w:sz w:val="21"/>
                <w:szCs w:val="21"/>
              </w:rPr>
            </w:pPr>
            <w:r>
              <w:rPr>
                <w:rFonts w:hint="eastAsia" w:ascii="宋体" w:hAnsi="宋体" w:cs="宋体"/>
                <w:bCs/>
                <w:sz w:val="21"/>
                <w:szCs w:val="21"/>
              </w:rPr>
              <w:t>组织人事部登记入职人员信息，自动生成工号及新用户。支持多种报到登记方式，具体如下：</w:t>
            </w:r>
          </w:p>
          <w:p w14:paraId="7AB1F550">
            <w:pPr>
              <w:spacing w:line="520" w:lineRule="exact"/>
              <w:rPr>
                <w:rFonts w:hint="eastAsia" w:ascii="宋体" w:hAnsi="宋体" w:cs="宋体"/>
                <w:bCs/>
                <w:sz w:val="21"/>
                <w:szCs w:val="21"/>
              </w:rPr>
            </w:pPr>
            <w:r>
              <w:rPr>
                <w:rFonts w:hint="eastAsia" w:ascii="宋体" w:hAnsi="宋体" w:cs="宋体"/>
                <w:bCs/>
                <w:sz w:val="21"/>
                <w:szCs w:val="21"/>
              </w:rPr>
              <w:t>①手动登记：组织人事部在系统中手动维护入职人员信息，发起入职流程。</w:t>
            </w:r>
          </w:p>
          <w:p w14:paraId="181D01CA">
            <w:pPr>
              <w:spacing w:line="520" w:lineRule="exact"/>
              <w:rPr>
                <w:rFonts w:hint="eastAsia" w:ascii="宋体" w:hAnsi="宋体" w:cs="宋体"/>
                <w:bCs/>
                <w:sz w:val="21"/>
                <w:szCs w:val="21"/>
              </w:rPr>
            </w:pPr>
            <w:r>
              <w:rPr>
                <w:rFonts w:hint="eastAsia" w:ascii="宋体" w:hAnsi="宋体" w:cs="宋体"/>
                <w:bCs/>
                <w:sz w:val="21"/>
                <w:szCs w:val="21"/>
              </w:rPr>
              <w:t>②批量导入：组织人事部可将入职人员信息通过excel批量导入系统，进行批量报到入职登记。</w:t>
            </w:r>
          </w:p>
          <w:p w14:paraId="2BDA6273">
            <w:pPr>
              <w:spacing w:line="520" w:lineRule="exact"/>
              <w:rPr>
                <w:rFonts w:hint="eastAsia" w:ascii="宋体" w:hAnsi="宋体" w:cs="宋体"/>
                <w:bCs/>
                <w:sz w:val="21"/>
                <w:szCs w:val="21"/>
              </w:rPr>
            </w:pPr>
            <w:r>
              <w:rPr>
                <w:rFonts w:hint="eastAsia" w:ascii="宋体" w:hAnsi="宋体" w:cs="宋体"/>
                <w:bCs/>
                <w:sz w:val="21"/>
                <w:szCs w:val="21"/>
              </w:rPr>
              <w:t>③快捷登记：组织人事部直接登记入职人员的信息完成报到入职，无需新报到人员登录系统完善个人资料。</w:t>
            </w:r>
          </w:p>
          <w:p w14:paraId="73FF94DD">
            <w:pPr>
              <w:spacing w:line="520" w:lineRule="exact"/>
              <w:rPr>
                <w:rFonts w:hint="eastAsia" w:ascii="宋体" w:hAnsi="宋体" w:cs="宋体"/>
                <w:bCs/>
                <w:sz w:val="21"/>
                <w:szCs w:val="21"/>
              </w:rPr>
            </w:pPr>
            <w:r>
              <w:rPr>
                <w:rFonts w:hint="eastAsia" w:ascii="宋体" w:hAnsi="宋体" w:cs="宋体"/>
                <w:bCs/>
                <w:sz w:val="21"/>
                <w:szCs w:val="21"/>
              </w:rPr>
              <w:t>④简历转入：通过招聘系统产生的拟录用人员的简历信息可直接转入报到入职模块。</w:t>
            </w:r>
          </w:p>
          <w:p w14:paraId="2EFEE03E">
            <w:pPr>
              <w:spacing w:line="520" w:lineRule="exact"/>
              <w:rPr>
                <w:rFonts w:hint="eastAsia" w:ascii="宋体" w:hAnsi="宋体" w:cs="宋体"/>
                <w:bCs/>
                <w:sz w:val="21"/>
                <w:szCs w:val="21"/>
              </w:rPr>
            </w:pPr>
            <w:r>
              <w:rPr>
                <w:rFonts w:hint="eastAsia" w:ascii="宋体" w:hAnsi="宋体" w:cs="宋体"/>
                <w:bCs/>
                <w:sz w:val="21"/>
                <w:szCs w:val="21"/>
              </w:rPr>
              <w:t>（3）个人信息填报</w:t>
            </w:r>
          </w:p>
          <w:p w14:paraId="02ED6B0A">
            <w:pPr>
              <w:spacing w:line="520" w:lineRule="exact"/>
              <w:rPr>
                <w:rFonts w:hint="eastAsia" w:ascii="宋体" w:hAnsi="宋体" w:cs="宋体"/>
                <w:bCs/>
                <w:sz w:val="21"/>
                <w:szCs w:val="21"/>
              </w:rPr>
            </w:pPr>
            <w:r>
              <w:rPr>
                <w:rFonts w:hint="eastAsia" w:ascii="宋体" w:hAnsi="宋体" w:cs="宋体"/>
                <w:bCs/>
                <w:sz w:val="21"/>
                <w:szCs w:val="21"/>
              </w:rPr>
              <w:t>发起入职流程后，系统可自动给新报到人员发送邮件通知，包括登录地址、登陆账号、初始密码（可设置为身份证后6位）。新报到人员登录系统可以查看入职须知、了解入职流程，进入个人信息填报页面，填写和完善个人信息，如基本信息、教育经历、工作经历、政治面貌、家庭成员、联系方式等信息；支持以附件形式上传照片及各类证明材料，如证件照、身份证、毕业证、学位证，支持附件大小的设置，如照片可以设置尺寸、大小，不符合要求不能上传系统。</w:t>
            </w:r>
          </w:p>
          <w:p w14:paraId="6930212B">
            <w:pPr>
              <w:spacing w:line="520" w:lineRule="exact"/>
              <w:rPr>
                <w:rFonts w:hint="eastAsia" w:ascii="宋体" w:hAnsi="宋体" w:cs="宋体"/>
                <w:bCs/>
                <w:sz w:val="21"/>
                <w:szCs w:val="21"/>
              </w:rPr>
            </w:pPr>
            <w:r>
              <w:rPr>
                <w:rFonts w:hint="eastAsia" w:ascii="宋体" w:hAnsi="宋体" w:cs="宋体"/>
                <w:bCs/>
                <w:sz w:val="21"/>
                <w:szCs w:val="21"/>
              </w:rPr>
              <w:t>（4）所属单位审核</w:t>
            </w:r>
          </w:p>
          <w:p w14:paraId="767553D9">
            <w:pPr>
              <w:spacing w:line="520" w:lineRule="exact"/>
              <w:rPr>
                <w:rFonts w:hint="eastAsia" w:ascii="宋体" w:hAnsi="宋体" w:cs="宋体"/>
                <w:bCs/>
                <w:sz w:val="21"/>
                <w:szCs w:val="21"/>
              </w:rPr>
            </w:pPr>
            <w:r>
              <w:rPr>
                <w:rFonts w:hint="eastAsia" w:ascii="宋体" w:hAnsi="宋体" w:cs="宋体"/>
                <w:bCs/>
                <w:sz w:val="21"/>
                <w:szCs w:val="21"/>
              </w:rPr>
              <w:t>新报到人员所属单位可对其材料进行审核确认，确认后发起入职转单办理。</w:t>
            </w:r>
          </w:p>
          <w:p w14:paraId="0E1EABE3">
            <w:pPr>
              <w:spacing w:line="520" w:lineRule="exact"/>
              <w:rPr>
                <w:rFonts w:hint="eastAsia" w:ascii="宋体" w:hAnsi="宋体" w:cs="宋体"/>
                <w:bCs/>
                <w:sz w:val="21"/>
                <w:szCs w:val="21"/>
              </w:rPr>
            </w:pPr>
            <w:r>
              <w:rPr>
                <w:rFonts w:hint="eastAsia" w:ascii="宋体" w:hAnsi="宋体" w:cs="宋体"/>
                <w:bCs/>
                <w:sz w:val="21"/>
                <w:szCs w:val="21"/>
              </w:rPr>
              <w:t>（5）转单办理</w:t>
            </w:r>
          </w:p>
          <w:p w14:paraId="49B4E746">
            <w:pPr>
              <w:spacing w:line="520" w:lineRule="exact"/>
              <w:rPr>
                <w:rFonts w:hint="eastAsia" w:ascii="宋体" w:hAnsi="宋体" w:cs="宋体"/>
                <w:bCs/>
                <w:sz w:val="21"/>
                <w:szCs w:val="21"/>
              </w:rPr>
            </w:pPr>
            <w:r>
              <w:rPr>
                <w:rFonts w:hint="eastAsia" w:ascii="宋体" w:hAnsi="宋体" w:cs="宋体"/>
                <w:bCs/>
                <w:sz w:val="21"/>
                <w:szCs w:val="21"/>
              </w:rPr>
              <w:t>支持各职能部门转单办理，比如工资卡办理、校园一卡通办理等环节，系统支持显示办理进度、办理事项清单、办理入口等。业务办理审核完成后，以不同颜色提醒新员工目前办理的流程节点和办理状态。</w:t>
            </w:r>
          </w:p>
          <w:p w14:paraId="3C195108">
            <w:pPr>
              <w:spacing w:line="520" w:lineRule="exact"/>
              <w:rPr>
                <w:rFonts w:hint="eastAsia" w:ascii="宋体" w:hAnsi="宋体" w:cs="宋体"/>
                <w:bCs/>
                <w:sz w:val="21"/>
                <w:szCs w:val="21"/>
              </w:rPr>
            </w:pPr>
            <w:r>
              <w:rPr>
                <w:rFonts w:hint="eastAsia" w:ascii="宋体" w:hAnsi="宋体" w:cs="宋体"/>
                <w:bCs/>
                <w:sz w:val="21"/>
                <w:szCs w:val="21"/>
              </w:rPr>
              <w:t>（6）组织人事部审核</w:t>
            </w:r>
          </w:p>
          <w:p w14:paraId="32466943">
            <w:pPr>
              <w:spacing w:line="520" w:lineRule="exact"/>
              <w:rPr>
                <w:rFonts w:hint="eastAsia" w:ascii="宋体" w:hAnsi="宋体" w:cs="宋体"/>
                <w:bCs/>
                <w:sz w:val="21"/>
                <w:szCs w:val="21"/>
              </w:rPr>
            </w:pPr>
            <w:r>
              <w:rPr>
                <w:rFonts w:hint="eastAsia" w:ascii="宋体" w:hAnsi="宋体" w:cs="宋体"/>
                <w:bCs/>
                <w:sz w:val="21"/>
                <w:szCs w:val="21"/>
              </w:rPr>
              <w:t>组织人事部对新报到人员信息进行审核，审核通过后入职完成。</w:t>
            </w:r>
          </w:p>
          <w:p w14:paraId="52410282">
            <w:pPr>
              <w:spacing w:line="520" w:lineRule="exact"/>
              <w:rPr>
                <w:rFonts w:hint="eastAsia" w:ascii="宋体" w:hAnsi="宋体" w:cs="宋体"/>
                <w:bCs/>
                <w:sz w:val="21"/>
                <w:szCs w:val="21"/>
              </w:rPr>
            </w:pPr>
            <w:r>
              <w:rPr>
                <w:rFonts w:hint="eastAsia" w:ascii="宋体" w:hAnsi="宋体" w:cs="宋体"/>
                <w:bCs/>
                <w:sz w:val="21"/>
                <w:szCs w:val="21"/>
              </w:rPr>
              <w:t>（7）起薪通知</w:t>
            </w:r>
          </w:p>
          <w:p w14:paraId="230A26E5">
            <w:pPr>
              <w:spacing w:line="520" w:lineRule="exact"/>
              <w:rPr>
                <w:rFonts w:hint="eastAsia" w:ascii="宋体" w:hAnsi="宋体" w:cs="宋体"/>
                <w:bCs/>
                <w:sz w:val="21"/>
                <w:szCs w:val="21"/>
              </w:rPr>
            </w:pPr>
            <w:r>
              <w:rPr>
                <w:rFonts w:hint="eastAsia" w:ascii="宋体" w:hAnsi="宋体" w:cs="宋体"/>
                <w:bCs/>
                <w:sz w:val="21"/>
                <w:szCs w:val="21"/>
              </w:rPr>
              <w:t>入职报到办理完成，组织人事部可给工资管理人员发送起薪通知。</w:t>
            </w:r>
          </w:p>
          <w:p w14:paraId="5782E7B9">
            <w:pPr>
              <w:spacing w:line="520" w:lineRule="exact"/>
              <w:rPr>
                <w:rFonts w:hint="eastAsia" w:ascii="宋体" w:hAnsi="宋体" w:cs="宋体"/>
                <w:bCs/>
                <w:sz w:val="21"/>
                <w:szCs w:val="21"/>
              </w:rPr>
            </w:pPr>
            <w:r>
              <w:rPr>
                <w:rFonts w:hint="eastAsia" w:ascii="宋体" w:hAnsi="宋体" w:cs="宋体"/>
                <w:bCs/>
                <w:sz w:val="21"/>
                <w:szCs w:val="21"/>
              </w:rPr>
              <w:t>（8）入职进度查询</w:t>
            </w:r>
          </w:p>
          <w:p w14:paraId="54007774">
            <w:pPr>
              <w:spacing w:line="520" w:lineRule="exact"/>
              <w:rPr>
                <w:rFonts w:hint="eastAsia" w:ascii="宋体" w:hAnsi="宋体" w:cs="宋体"/>
                <w:bCs/>
                <w:sz w:val="21"/>
                <w:szCs w:val="21"/>
              </w:rPr>
            </w:pPr>
            <w:r>
              <w:rPr>
                <w:rFonts w:hint="eastAsia" w:ascii="宋体" w:hAnsi="宋体" w:cs="宋体"/>
                <w:bCs/>
                <w:sz w:val="21"/>
                <w:szCs w:val="21"/>
              </w:rPr>
              <w:t>系统支持对整个报到入职过程进行追溯，新报到人员可直观查询当前入职进度，组织人事部可以查询全校所有新报到人员的入职办理进度。</w:t>
            </w:r>
          </w:p>
          <w:p w14:paraId="30F36F6A">
            <w:pPr>
              <w:spacing w:line="520" w:lineRule="exact"/>
              <w:rPr>
                <w:rFonts w:hint="eastAsia" w:ascii="宋体" w:hAnsi="宋体" w:cs="宋体"/>
                <w:bCs/>
                <w:sz w:val="21"/>
                <w:szCs w:val="21"/>
              </w:rPr>
            </w:pPr>
            <w:r>
              <w:rPr>
                <w:rFonts w:hint="eastAsia" w:ascii="宋体" w:hAnsi="宋体" w:cs="宋体"/>
                <w:bCs/>
                <w:sz w:val="21"/>
                <w:szCs w:val="21"/>
              </w:rPr>
              <w:t>1.3.2.试用期转正</w:t>
            </w:r>
          </w:p>
          <w:p w14:paraId="0605F9EC">
            <w:pPr>
              <w:spacing w:line="520" w:lineRule="exact"/>
              <w:rPr>
                <w:rFonts w:hint="eastAsia" w:ascii="宋体" w:hAnsi="宋体" w:cs="宋体"/>
                <w:bCs/>
                <w:sz w:val="21"/>
                <w:szCs w:val="21"/>
              </w:rPr>
            </w:pPr>
            <w:r>
              <w:rPr>
                <w:rFonts w:hint="eastAsia" w:ascii="宋体" w:hAnsi="宋体" w:cs="宋体"/>
                <w:bCs/>
                <w:sz w:val="21"/>
                <w:szCs w:val="21"/>
              </w:rPr>
              <w:t>可对试用期过后且符合条件的人员进行转正定级业务办理，包括试用期转正提醒、个人申请、二级单位审批、组织人事部审批等流程节点。通过系统可以流程化方式完成试用期转正业务办理及过程管理。</w:t>
            </w:r>
          </w:p>
          <w:p w14:paraId="2E517FFE">
            <w:pPr>
              <w:spacing w:line="520" w:lineRule="exact"/>
              <w:rPr>
                <w:rFonts w:hint="eastAsia" w:ascii="宋体" w:hAnsi="宋体" w:cs="宋体"/>
                <w:bCs/>
                <w:sz w:val="21"/>
                <w:szCs w:val="21"/>
              </w:rPr>
            </w:pPr>
            <w:r>
              <w:rPr>
                <w:rFonts w:hint="eastAsia" w:ascii="宋体" w:hAnsi="宋体" w:cs="宋体"/>
                <w:bCs/>
                <w:sz w:val="21"/>
                <w:szCs w:val="21"/>
              </w:rPr>
              <w:t>①试用期转正提醒：可查看所有待转正人员，可按条件查询本周待转正、本月待转正人员，批量选择待转正人员进行通知，也可由系统自动通知。申请可以由组织人事部或二级单位帮助教职工发起流程或教职工自己发起。</w:t>
            </w:r>
          </w:p>
          <w:p w14:paraId="07A80207">
            <w:pPr>
              <w:spacing w:line="520" w:lineRule="exact"/>
              <w:rPr>
                <w:rFonts w:hint="eastAsia" w:ascii="宋体" w:hAnsi="宋体" w:cs="宋体"/>
                <w:bCs/>
                <w:sz w:val="21"/>
                <w:szCs w:val="21"/>
              </w:rPr>
            </w:pPr>
            <w:r>
              <w:rPr>
                <w:rFonts w:hint="eastAsia" w:ascii="宋体" w:hAnsi="宋体" w:cs="宋体"/>
                <w:bCs/>
                <w:sz w:val="21"/>
                <w:szCs w:val="21"/>
              </w:rPr>
              <w:t>②个人申请：个人填写试用期转正申请表，填写试用期工作总结，提交审核，可查看审核状态。可打印转正定级审批表。</w:t>
            </w:r>
          </w:p>
          <w:p w14:paraId="53627659">
            <w:pPr>
              <w:spacing w:line="520" w:lineRule="exact"/>
              <w:rPr>
                <w:rFonts w:hint="eastAsia" w:ascii="宋体" w:hAnsi="宋体" w:cs="宋体"/>
                <w:bCs/>
                <w:sz w:val="21"/>
                <w:szCs w:val="21"/>
              </w:rPr>
            </w:pPr>
            <w:r>
              <w:rPr>
                <w:rFonts w:hint="eastAsia" w:ascii="宋体" w:hAnsi="宋体" w:cs="宋体"/>
                <w:bCs/>
                <w:sz w:val="21"/>
                <w:szCs w:val="21"/>
              </w:rPr>
              <w:t>③单位审核：单位对教职工提交的试用期转正申请表进行审核，可以根据教职工现实表现填写审核意见，可审核通过、不通过，或退回修改。</w:t>
            </w:r>
          </w:p>
          <w:p w14:paraId="036309D4">
            <w:pPr>
              <w:spacing w:line="520" w:lineRule="exact"/>
              <w:rPr>
                <w:rFonts w:hint="eastAsia" w:ascii="宋体" w:hAnsi="宋体" w:cs="宋体"/>
                <w:bCs/>
                <w:sz w:val="21"/>
                <w:szCs w:val="21"/>
              </w:rPr>
            </w:pPr>
            <w:r>
              <w:rPr>
                <w:rFonts w:hint="eastAsia" w:ascii="宋体" w:hAnsi="宋体" w:cs="宋体"/>
                <w:bCs/>
                <w:sz w:val="21"/>
                <w:szCs w:val="21"/>
              </w:rPr>
              <w:t>④职能部门审核：职能部门（如教务处、学生处）根据教职工现实表现填写审核意见和考核结果。</w:t>
            </w:r>
          </w:p>
          <w:p w14:paraId="097CC729">
            <w:pPr>
              <w:spacing w:line="520" w:lineRule="exact"/>
              <w:rPr>
                <w:rFonts w:hint="eastAsia" w:ascii="宋体" w:hAnsi="宋体" w:cs="宋体"/>
                <w:bCs/>
                <w:sz w:val="21"/>
                <w:szCs w:val="21"/>
              </w:rPr>
            </w:pPr>
            <w:r>
              <w:rPr>
                <w:rFonts w:hint="eastAsia" w:ascii="宋体" w:hAnsi="宋体" w:cs="宋体"/>
                <w:bCs/>
                <w:sz w:val="21"/>
                <w:szCs w:val="21"/>
              </w:rPr>
              <w:t>⑤学校审核：组织人事部根据二级单位、职能部门及分管校领导的审核结果，报学校审议，根据审议结果填写最终审核意见。可审核通过、不通过，或退回修改。</w:t>
            </w:r>
          </w:p>
          <w:p w14:paraId="12F12BC4">
            <w:pPr>
              <w:spacing w:line="520" w:lineRule="exact"/>
              <w:rPr>
                <w:rFonts w:hint="eastAsia" w:ascii="宋体" w:hAnsi="宋体" w:cs="宋体"/>
                <w:bCs/>
                <w:sz w:val="21"/>
                <w:szCs w:val="21"/>
              </w:rPr>
            </w:pPr>
            <w:r>
              <w:rPr>
                <w:rFonts w:hint="eastAsia" w:ascii="宋体" w:hAnsi="宋体" w:cs="宋体"/>
                <w:bCs/>
                <w:sz w:val="21"/>
                <w:szCs w:val="21"/>
              </w:rPr>
              <w:t>⑥调薪通知：组织人事部确定转正的岗位级别后，给工资管理人员发送试用期转正调薪通知。</w:t>
            </w:r>
          </w:p>
          <w:p w14:paraId="4928B6B3">
            <w:pPr>
              <w:spacing w:line="520" w:lineRule="exact"/>
              <w:rPr>
                <w:rFonts w:hint="eastAsia" w:ascii="宋体" w:hAnsi="宋体" w:cs="宋体"/>
                <w:bCs/>
                <w:sz w:val="21"/>
                <w:szCs w:val="21"/>
              </w:rPr>
            </w:pPr>
            <w:r>
              <w:rPr>
                <w:rFonts w:hint="eastAsia" w:ascii="宋体" w:hAnsi="宋体" w:cs="宋体"/>
                <w:bCs/>
                <w:sz w:val="21"/>
                <w:szCs w:val="21"/>
              </w:rPr>
              <w:t>1.3.3.校内调动</w:t>
            </w:r>
          </w:p>
          <w:p w14:paraId="39F5C938">
            <w:pPr>
              <w:spacing w:line="520" w:lineRule="exact"/>
              <w:rPr>
                <w:rFonts w:hint="eastAsia" w:ascii="宋体" w:hAnsi="宋体" w:cs="宋体"/>
                <w:bCs/>
                <w:sz w:val="21"/>
                <w:szCs w:val="21"/>
              </w:rPr>
            </w:pPr>
            <w:r>
              <w:rPr>
                <w:rFonts w:hint="eastAsia" w:ascii="宋体" w:hAnsi="宋体" w:cs="宋体"/>
                <w:bCs/>
                <w:sz w:val="21"/>
                <w:szCs w:val="21"/>
              </w:rPr>
              <w:t>教职工在校期间因各种原因引起的岗位或部门的变动需要，可以通过系统进行校内调动信息的批量处理、个别新增和修改等；支持以流程化方式完成校内调动的业务办理及过程管理；支持调岗调部门、仅调岗位、调岗调级等多种调岗类型。</w:t>
            </w:r>
          </w:p>
          <w:p w14:paraId="25353B2B">
            <w:pPr>
              <w:spacing w:line="520" w:lineRule="exact"/>
              <w:rPr>
                <w:rFonts w:hint="eastAsia" w:ascii="宋体" w:hAnsi="宋体" w:cs="宋体"/>
                <w:bCs/>
                <w:sz w:val="21"/>
                <w:szCs w:val="21"/>
              </w:rPr>
            </w:pPr>
            <w:r>
              <w:rPr>
                <w:rFonts w:hint="eastAsia" w:ascii="宋体" w:hAnsi="宋体" w:cs="宋体"/>
                <w:bCs/>
                <w:sz w:val="21"/>
                <w:szCs w:val="21"/>
              </w:rPr>
              <w:t>①个人调动申请：个人可以通过系统提交部门调动的业务申请，填写调入部门、新岗位、申请日期、调动原因等信息，并可查看审核记录。</w:t>
            </w:r>
          </w:p>
          <w:p w14:paraId="062BA196">
            <w:pPr>
              <w:spacing w:line="520" w:lineRule="exact"/>
              <w:rPr>
                <w:rFonts w:hint="eastAsia" w:ascii="宋体" w:hAnsi="宋体" w:cs="宋体"/>
                <w:bCs/>
                <w:sz w:val="21"/>
                <w:szCs w:val="21"/>
              </w:rPr>
            </w:pPr>
            <w:r>
              <w:rPr>
                <w:rFonts w:hint="eastAsia" w:ascii="宋体" w:hAnsi="宋体" w:cs="宋体"/>
                <w:bCs/>
                <w:sz w:val="21"/>
                <w:szCs w:val="21"/>
              </w:rPr>
              <w:t>②调出单位审核：拟调出单位对个人申请进行审核，可填写审核意见，审核通过或不通过。</w:t>
            </w:r>
          </w:p>
          <w:p w14:paraId="52E2BD79">
            <w:pPr>
              <w:spacing w:line="520" w:lineRule="exact"/>
              <w:rPr>
                <w:rFonts w:hint="eastAsia" w:ascii="宋体" w:hAnsi="宋体" w:cs="宋体"/>
                <w:bCs/>
                <w:sz w:val="21"/>
                <w:szCs w:val="21"/>
              </w:rPr>
            </w:pPr>
            <w:r>
              <w:rPr>
                <w:rFonts w:hint="eastAsia" w:ascii="宋体" w:hAnsi="宋体" w:cs="宋体"/>
                <w:bCs/>
                <w:sz w:val="21"/>
                <w:szCs w:val="21"/>
              </w:rPr>
              <w:t>③调入单位审核：拟调入单位对调出单位已经审核通过的调动申请进行审核，可填写审核意见，审核通过或不通过。</w:t>
            </w:r>
          </w:p>
          <w:p w14:paraId="5F8BBDD2">
            <w:pPr>
              <w:spacing w:line="520" w:lineRule="exact"/>
              <w:rPr>
                <w:rFonts w:hint="eastAsia" w:ascii="宋体" w:hAnsi="宋体" w:cs="宋体"/>
                <w:bCs/>
                <w:sz w:val="21"/>
                <w:szCs w:val="21"/>
              </w:rPr>
            </w:pPr>
            <w:r>
              <w:rPr>
                <w:rFonts w:hint="eastAsia" w:ascii="宋体" w:hAnsi="宋体" w:cs="宋体"/>
                <w:bCs/>
                <w:sz w:val="21"/>
                <w:szCs w:val="21"/>
              </w:rPr>
              <w:t>④组织人事部审核：组织人事部对调出、调入单位已经审核通过的调动申请进行审核，根据学校审议结果填写审核意见，审核通过或不通过。</w:t>
            </w:r>
          </w:p>
          <w:p w14:paraId="0EFE0C97">
            <w:pPr>
              <w:spacing w:line="520" w:lineRule="exact"/>
              <w:rPr>
                <w:rFonts w:hint="eastAsia" w:ascii="宋体" w:hAnsi="宋体" w:cs="宋体"/>
                <w:bCs/>
                <w:sz w:val="21"/>
                <w:szCs w:val="21"/>
              </w:rPr>
            </w:pPr>
            <w:r>
              <w:rPr>
                <w:rFonts w:hint="eastAsia" w:ascii="宋体" w:hAnsi="宋体" w:cs="宋体"/>
                <w:bCs/>
                <w:sz w:val="21"/>
                <w:szCs w:val="21"/>
              </w:rPr>
              <w:t>⑤调动记录查询：人事管理人员可以对所有调动记录进行查询和统计，查询结果可以导出。</w:t>
            </w:r>
          </w:p>
          <w:p w14:paraId="4335B487">
            <w:pPr>
              <w:spacing w:line="520" w:lineRule="exact"/>
              <w:rPr>
                <w:rFonts w:hint="eastAsia" w:ascii="宋体" w:hAnsi="宋体" w:cs="宋体"/>
                <w:bCs/>
                <w:sz w:val="21"/>
                <w:szCs w:val="21"/>
              </w:rPr>
            </w:pPr>
            <w:r>
              <w:rPr>
                <w:rFonts w:hint="eastAsia" w:ascii="宋体" w:hAnsi="宋体" w:cs="宋体"/>
                <w:bCs/>
                <w:sz w:val="21"/>
                <w:szCs w:val="21"/>
              </w:rPr>
              <w:t>⑥调薪通知：校内调动完成，支持给工资管理人员发送校内调动调薪通知。</w:t>
            </w:r>
          </w:p>
          <w:p w14:paraId="7E5B774E">
            <w:pPr>
              <w:spacing w:line="520" w:lineRule="exact"/>
              <w:rPr>
                <w:rFonts w:hint="eastAsia" w:ascii="宋体" w:hAnsi="宋体" w:cs="宋体"/>
                <w:bCs/>
                <w:sz w:val="21"/>
                <w:szCs w:val="21"/>
              </w:rPr>
            </w:pPr>
            <w:r>
              <w:rPr>
                <w:rFonts w:hint="eastAsia" w:ascii="宋体" w:hAnsi="宋体" w:cs="宋体"/>
                <w:bCs/>
                <w:sz w:val="21"/>
                <w:szCs w:val="21"/>
              </w:rPr>
              <w:t>1.3.4.离职管理</w:t>
            </w:r>
          </w:p>
          <w:p w14:paraId="15FCEA7E">
            <w:pPr>
              <w:spacing w:line="520" w:lineRule="exact"/>
              <w:rPr>
                <w:rFonts w:hint="eastAsia" w:ascii="宋体" w:hAnsi="宋体" w:cs="宋体"/>
                <w:bCs/>
                <w:sz w:val="21"/>
                <w:szCs w:val="21"/>
              </w:rPr>
            </w:pPr>
            <w:r>
              <w:rPr>
                <w:rFonts w:hint="eastAsia" w:ascii="宋体" w:hAnsi="宋体" w:cs="宋体"/>
                <w:bCs/>
                <w:sz w:val="21"/>
                <w:szCs w:val="21"/>
              </w:rPr>
              <w:t>系统支持离职业务申请与审核的流程化业务管理，也支持由组织人事部直接做离职登记和离校确认。</w:t>
            </w:r>
          </w:p>
          <w:p w14:paraId="22BCA0B1">
            <w:pPr>
              <w:spacing w:line="520" w:lineRule="exact"/>
              <w:rPr>
                <w:rFonts w:hint="eastAsia" w:ascii="宋体" w:hAnsi="宋体" w:cs="宋体"/>
                <w:bCs/>
                <w:sz w:val="21"/>
                <w:szCs w:val="21"/>
              </w:rPr>
            </w:pPr>
            <w:r>
              <w:rPr>
                <w:rFonts w:hint="eastAsia" w:ascii="宋体" w:hAnsi="宋体" w:cs="宋体"/>
                <w:bCs/>
                <w:sz w:val="21"/>
                <w:szCs w:val="21"/>
              </w:rPr>
              <w:t>①离职办理指引设置：支持离职办理指引信息的设置，包括办理时间、地址、联系人、联系电话等。教职工可在系统内查看办理指引，方便其线下提交离职材料。</w:t>
            </w:r>
          </w:p>
          <w:p w14:paraId="396D73A1">
            <w:pPr>
              <w:spacing w:line="520" w:lineRule="exact"/>
              <w:rPr>
                <w:rFonts w:hint="eastAsia" w:ascii="宋体" w:hAnsi="宋体" w:cs="宋体"/>
                <w:bCs/>
                <w:sz w:val="21"/>
                <w:szCs w:val="21"/>
              </w:rPr>
            </w:pPr>
            <w:r>
              <w:rPr>
                <w:rFonts w:hint="eastAsia" w:ascii="宋体" w:hAnsi="宋体" w:cs="宋体"/>
                <w:bCs/>
                <w:sz w:val="21"/>
                <w:szCs w:val="21"/>
              </w:rPr>
              <w:t>②离职申请：教职工可在线申请离职，填写离职信息，包括离职时间、离职方式、离职去向。</w:t>
            </w:r>
          </w:p>
          <w:p w14:paraId="36F9AC59">
            <w:pPr>
              <w:spacing w:line="520" w:lineRule="exact"/>
              <w:rPr>
                <w:rFonts w:hint="eastAsia" w:ascii="宋体" w:hAnsi="宋体" w:cs="宋体"/>
                <w:bCs/>
                <w:sz w:val="21"/>
                <w:szCs w:val="21"/>
              </w:rPr>
            </w:pPr>
            <w:r>
              <w:rPr>
                <w:rFonts w:hint="eastAsia" w:ascii="宋体" w:hAnsi="宋体" w:cs="宋体"/>
                <w:bCs/>
                <w:sz w:val="21"/>
                <w:szCs w:val="21"/>
              </w:rPr>
              <w:t>③单位审核：二级单位对教职工提交的离职申请进行审核，提交给组织人事部审核确认。</w:t>
            </w:r>
          </w:p>
          <w:p w14:paraId="2355A967">
            <w:pPr>
              <w:spacing w:line="520" w:lineRule="exact"/>
              <w:rPr>
                <w:rFonts w:hint="eastAsia" w:ascii="宋体" w:hAnsi="宋体" w:cs="宋体"/>
                <w:bCs/>
                <w:sz w:val="21"/>
                <w:szCs w:val="21"/>
              </w:rPr>
            </w:pPr>
            <w:r>
              <w:rPr>
                <w:rFonts w:hint="eastAsia" w:ascii="宋体" w:hAnsi="宋体" w:cs="宋体"/>
                <w:bCs/>
                <w:sz w:val="21"/>
                <w:szCs w:val="21"/>
              </w:rPr>
              <w:t>④组织人事部审核：组织人事部对二级单位提交的信息进行确认；也可由组织人事部直接发起离职登记，为离职人员办理手续，登记离职信息，学校审议通过后，离职人员办理完各项离职结算手续，手续完结后在系统中确认人员离职。确认后，系统将自动进行一系列处理，包括：教职工信息自动从在职人员库转入离职人员库；通知合同管理人员，解除劳动合同；自动停止离职人员的系统账号。</w:t>
            </w:r>
          </w:p>
          <w:p w14:paraId="28508A71">
            <w:pPr>
              <w:spacing w:line="520" w:lineRule="exact"/>
              <w:rPr>
                <w:rFonts w:hint="eastAsia" w:ascii="宋体" w:hAnsi="宋体" w:cs="宋体"/>
                <w:bCs/>
                <w:sz w:val="21"/>
                <w:szCs w:val="21"/>
              </w:rPr>
            </w:pPr>
            <w:r>
              <w:rPr>
                <w:rFonts w:hint="eastAsia" w:ascii="宋体" w:hAnsi="宋体" w:cs="宋体"/>
                <w:bCs/>
                <w:sz w:val="21"/>
                <w:szCs w:val="21"/>
              </w:rPr>
              <w:t>⑤离职人员查询：支持离职人员信息的查询和统计。</w:t>
            </w:r>
          </w:p>
          <w:p w14:paraId="34DBE978">
            <w:pPr>
              <w:spacing w:line="520" w:lineRule="exact"/>
              <w:rPr>
                <w:rFonts w:hint="eastAsia" w:ascii="宋体" w:hAnsi="宋体" w:cs="宋体"/>
                <w:bCs/>
                <w:sz w:val="21"/>
                <w:szCs w:val="21"/>
              </w:rPr>
            </w:pPr>
            <w:r>
              <w:rPr>
                <w:rFonts w:hint="eastAsia" w:ascii="宋体" w:hAnsi="宋体" w:cs="宋体"/>
                <w:bCs/>
                <w:sz w:val="21"/>
                <w:szCs w:val="21"/>
              </w:rPr>
              <w:t>⑥离职停薪停保通知：给工资管理人员发送离职停薪及五险一金停保通知。</w:t>
            </w:r>
          </w:p>
          <w:p w14:paraId="739860F4">
            <w:pPr>
              <w:spacing w:line="520" w:lineRule="exact"/>
              <w:rPr>
                <w:rFonts w:hint="eastAsia" w:ascii="宋体" w:hAnsi="宋体" w:cs="宋体"/>
                <w:bCs/>
                <w:sz w:val="21"/>
                <w:szCs w:val="21"/>
              </w:rPr>
            </w:pPr>
            <w:r>
              <w:rPr>
                <w:rFonts w:hint="eastAsia" w:ascii="宋体" w:hAnsi="宋体" w:cs="宋体"/>
                <w:bCs/>
                <w:sz w:val="21"/>
                <w:szCs w:val="21"/>
              </w:rPr>
              <w:t>1.3.5.退休管理</w:t>
            </w:r>
          </w:p>
          <w:p w14:paraId="37CC71F8">
            <w:pPr>
              <w:spacing w:line="520" w:lineRule="exact"/>
              <w:rPr>
                <w:rFonts w:hint="eastAsia" w:ascii="宋体" w:hAnsi="宋体" w:cs="宋体"/>
                <w:bCs/>
                <w:sz w:val="21"/>
                <w:szCs w:val="21"/>
              </w:rPr>
            </w:pPr>
            <w:r>
              <w:rPr>
                <w:rFonts w:hint="eastAsia" w:ascii="宋体" w:hAnsi="宋体" w:cs="宋体"/>
                <w:bCs/>
                <w:sz w:val="21"/>
                <w:szCs w:val="21"/>
              </w:rPr>
              <w:t>系统支持灵活设置退休规则，自动筛选退休人员名单，并提醒近期退休人员；可批量进行退休登记，并通知工资管理人员进行工资调整。</w:t>
            </w:r>
          </w:p>
          <w:p w14:paraId="393CFE5A">
            <w:pPr>
              <w:spacing w:line="520" w:lineRule="exact"/>
              <w:rPr>
                <w:rFonts w:hint="eastAsia" w:ascii="宋体" w:hAnsi="宋体" w:cs="宋体"/>
                <w:bCs/>
                <w:sz w:val="21"/>
                <w:szCs w:val="21"/>
              </w:rPr>
            </w:pPr>
            <w:r>
              <w:rPr>
                <w:rFonts w:hint="eastAsia" w:ascii="宋体" w:hAnsi="宋体" w:cs="宋体"/>
                <w:bCs/>
                <w:sz w:val="21"/>
                <w:szCs w:val="21"/>
              </w:rPr>
              <w:t>①退休规则设置：可根据性别、人员类型、职务级别等条件灵活定义退休规则，可设置不同的人员范围所对应的退休年龄。</w:t>
            </w:r>
          </w:p>
          <w:p w14:paraId="73F69291">
            <w:pPr>
              <w:spacing w:line="520" w:lineRule="exact"/>
              <w:rPr>
                <w:rFonts w:hint="eastAsia" w:ascii="宋体" w:hAnsi="宋体" w:cs="宋体"/>
                <w:bCs/>
                <w:sz w:val="21"/>
                <w:szCs w:val="21"/>
              </w:rPr>
            </w:pPr>
            <w:r>
              <w:rPr>
                <w:rFonts w:hint="eastAsia" w:ascii="宋体" w:hAnsi="宋体" w:cs="宋体"/>
                <w:bCs/>
                <w:sz w:val="21"/>
                <w:szCs w:val="21"/>
              </w:rPr>
              <w:t>②退休提醒：根据退休规则设置，自动计算教职工的退休日期，并根据条件系统自动筛选本月、三个月内、本年度退休人员，支持提前发送退休通知提醒相关人员办理相关手续。</w:t>
            </w:r>
          </w:p>
          <w:p w14:paraId="5561B6A4">
            <w:pPr>
              <w:spacing w:line="520" w:lineRule="exact"/>
              <w:rPr>
                <w:rFonts w:hint="eastAsia" w:ascii="宋体" w:hAnsi="宋体" w:cs="宋体"/>
                <w:bCs/>
                <w:sz w:val="21"/>
                <w:szCs w:val="21"/>
              </w:rPr>
            </w:pPr>
            <w:r>
              <w:rPr>
                <w:rFonts w:hint="eastAsia" w:ascii="宋体" w:hAnsi="宋体" w:cs="宋体"/>
                <w:bCs/>
                <w:sz w:val="21"/>
                <w:szCs w:val="21"/>
              </w:rPr>
              <w:t>③退休登记：对于到期退休人员，组织人事部可在线办理退休登记手续。教职工法定退休手续完成后，教职工信息自动从在职人员库转入退休人员库。</w:t>
            </w:r>
          </w:p>
          <w:p w14:paraId="20A8960F">
            <w:pPr>
              <w:spacing w:line="520" w:lineRule="exact"/>
              <w:rPr>
                <w:rFonts w:hint="eastAsia" w:ascii="宋体" w:hAnsi="宋体" w:cs="宋体"/>
                <w:bCs/>
                <w:sz w:val="21"/>
                <w:szCs w:val="21"/>
              </w:rPr>
            </w:pPr>
            <w:r>
              <w:rPr>
                <w:rFonts w:hint="eastAsia" w:ascii="宋体" w:hAnsi="宋体" w:cs="宋体"/>
                <w:bCs/>
                <w:sz w:val="21"/>
                <w:szCs w:val="21"/>
              </w:rPr>
              <w:t>④批量退休登记：可对某一时间段退休的人员，集中办理离退休手续。可灵活设置时间范围，系统自动筛选出在该时间范围需退休的人员名单，统一生成退休登记信息，并可发起退休人员批量停薪的通知。</w:t>
            </w:r>
          </w:p>
          <w:p w14:paraId="7E91872D">
            <w:pPr>
              <w:spacing w:line="520" w:lineRule="exact"/>
              <w:rPr>
                <w:rFonts w:hint="eastAsia" w:ascii="宋体" w:hAnsi="宋体" w:cs="宋体"/>
                <w:bCs/>
                <w:sz w:val="21"/>
                <w:szCs w:val="21"/>
              </w:rPr>
            </w:pPr>
            <w:r>
              <w:rPr>
                <w:rFonts w:hint="eastAsia" w:ascii="宋体" w:hAnsi="宋体" w:cs="宋体"/>
                <w:bCs/>
                <w:sz w:val="21"/>
                <w:szCs w:val="21"/>
              </w:rPr>
              <w:t>⑤延迟退休管理：需延迟退休的人员，可通过系统登记延迟退休信息，包括延迟退休截止日期、延迟退休原因等，延迟退休期满后，仍可继续登记延迟退休，支持多次延退。可查询统计系统中处于延迟退休状态的人员信息。</w:t>
            </w:r>
          </w:p>
          <w:p w14:paraId="2FFBBF5C">
            <w:pPr>
              <w:spacing w:line="520" w:lineRule="exact"/>
              <w:rPr>
                <w:rFonts w:hint="eastAsia" w:ascii="宋体" w:hAnsi="宋体" w:cs="宋体"/>
                <w:bCs/>
                <w:sz w:val="21"/>
                <w:szCs w:val="21"/>
              </w:rPr>
            </w:pPr>
            <w:r>
              <w:rPr>
                <w:rFonts w:hint="eastAsia" w:ascii="宋体" w:hAnsi="宋体" w:cs="宋体"/>
                <w:bCs/>
                <w:sz w:val="21"/>
                <w:szCs w:val="21"/>
              </w:rPr>
              <w:t>⑥查询统计：离退休人员信息的查询、导入导出、统计分析等。</w:t>
            </w:r>
          </w:p>
          <w:p w14:paraId="67E9098E">
            <w:pPr>
              <w:spacing w:line="520" w:lineRule="exact"/>
              <w:rPr>
                <w:rFonts w:hint="eastAsia" w:ascii="宋体" w:hAnsi="宋体" w:cs="宋体"/>
                <w:bCs/>
                <w:sz w:val="21"/>
                <w:szCs w:val="21"/>
              </w:rPr>
            </w:pPr>
            <w:r>
              <w:rPr>
                <w:rFonts w:hint="eastAsia" w:ascii="宋体" w:hAnsi="宋体" w:cs="宋体"/>
                <w:bCs/>
                <w:sz w:val="21"/>
                <w:szCs w:val="21"/>
              </w:rPr>
              <w:t>1.4.合同管理</w:t>
            </w:r>
          </w:p>
          <w:p w14:paraId="72208452">
            <w:pPr>
              <w:spacing w:line="520" w:lineRule="exact"/>
              <w:rPr>
                <w:rFonts w:hint="eastAsia" w:ascii="宋体" w:hAnsi="宋体" w:cs="宋体"/>
                <w:bCs/>
                <w:sz w:val="21"/>
                <w:szCs w:val="21"/>
              </w:rPr>
            </w:pPr>
            <w:r>
              <w:rPr>
                <w:rFonts w:hint="eastAsia" w:ascii="宋体" w:hAnsi="宋体" w:cs="宋体"/>
                <w:bCs/>
                <w:sz w:val="21"/>
                <w:szCs w:val="21"/>
              </w:rPr>
              <w:t>系统支持合同信息的登记和管理，建立合同信息库。合同即将到期，由系统自动发送消息提醒有关人员。系统支持合同业务的流程化办理，包括合同新签、续签、重签和终止。可根据合同类型定义不同的合同打印模板，支持合同文本在线预览及打印。</w:t>
            </w:r>
          </w:p>
          <w:p w14:paraId="648121AB">
            <w:pPr>
              <w:spacing w:line="520" w:lineRule="exact"/>
              <w:rPr>
                <w:rFonts w:hint="eastAsia" w:ascii="宋体" w:hAnsi="宋体" w:cs="宋体"/>
                <w:bCs/>
                <w:sz w:val="21"/>
                <w:szCs w:val="21"/>
              </w:rPr>
            </w:pPr>
            <w:r>
              <w:rPr>
                <w:rFonts w:hint="eastAsia" w:ascii="宋体" w:hAnsi="宋体" w:cs="宋体"/>
                <w:bCs/>
                <w:sz w:val="21"/>
                <w:szCs w:val="21"/>
              </w:rPr>
              <w:t>1.4.1.合同信息库</w:t>
            </w:r>
          </w:p>
          <w:p w14:paraId="48F57BE8">
            <w:pPr>
              <w:spacing w:line="520" w:lineRule="exact"/>
              <w:rPr>
                <w:rFonts w:hint="eastAsia" w:ascii="宋体" w:hAnsi="宋体" w:cs="宋体"/>
                <w:bCs/>
                <w:sz w:val="21"/>
                <w:szCs w:val="21"/>
              </w:rPr>
            </w:pPr>
            <w:r>
              <w:rPr>
                <w:rFonts w:hint="eastAsia" w:ascii="宋体" w:hAnsi="宋体" w:cs="宋体"/>
                <w:bCs/>
                <w:sz w:val="21"/>
                <w:szCs w:val="21"/>
              </w:rPr>
              <w:t>建立合同信息库，管理员进行合同登记和信息维护，可以查询导出合同信息，可以预览、下载和打印合同附件。合同即将到期，由系统自动发送消息提醒有关人员。</w:t>
            </w:r>
          </w:p>
          <w:p w14:paraId="0C9F4482">
            <w:pPr>
              <w:spacing w:line="520" w:lineRule="exact"/>
              <w:rPr>
                <w:rFonts w:hint="eastAsia" w:ascii="宋体" w:hAnsi="宋体" w:cs="宋体"/>
                <w:bCs/>
                <w:sz w:val="21"/>
                <w:szCs w:val="21"/>
              </w:rPr>
            </w:pPr>
            <w:r>
              <w:rPr>
                <w:rFonts w:hint="eastAsia" w:ascii="宋体" w:hAnsi="宋体" w:cs="宋体"/>
                <w:bCs/>
                <w:sz w:val="21"/>
                <w:szCs w:val="21"/>
              </w:rPr>
              <w:t>1.4.2.新签合同登记</w:t>
            </w:r>
          </w:p>
          <w:p w14:paraId="5513DECE">
            <w:pPr>
              <w:spacing w:line="520" w:lineRule="exact"/>
              <w:rPr>
                <w:rFonts w:hint="eastAsia" w:ascii="宋体" w:hAnsi="宋体" w:cs="宋体"/>
                <w:bCs/>
                <w:sz w:val="21"/>
                <w:szCs w:val="21"/>
              </w:rPr>
            </w:pPr>
            <w:r>
              <w:rPr>
                <w:rFonts w:hint="eastAsia" w:ascii="宋体" w:hAnsi="宋体" w:cs="宋体"/>
                <w:bCs/>
                <w:sz w:val="21"/>
                <w:szCs w:val="21"/>
              </w:rPr>
              <w:t>支持以流程化方式完成新签合同的业务办理及过程管理。</w:t>
            </w:r>
          </w:p>
          <w:p w14:paraId="76576BC9">
            <w:pPr>
              <w:spacing w:line="520" w:lineRule="exact"/>
              <w:rPr>
                <w:rFonts w:hint="eastAsia" w:ascii="宋体" w:hAnsi="宋体" w:cs="宋体"/>
                <w:bCs/>
                <w:sz w:val="21"/>
                <w:szCs w:val="21"/>
              </w:rPr>
            </w:pPr>
            <w:r>
              <w:rPr>
                <w:rFonts w:hint="eastAsia" w:ascii="宋体" w:hAnsi="宋体" w:cs="宋体"/>
                <w:bCs/>
                <w:sz w:val="21"/>
                <w:szCs w:val="21"/>
              </w:rPr>
              <w:t>①草拟合同：组织人事部发起合同签订流程，确认聘用单位、合同类型、合同期限、签订日期、生效日期、结束日期等信息，并上传合同扫描件提交给个人确认；</w:t>
            </w:r>
          </w:p>
          <w:p w14:paraId="12CEEDE4">
            <w:pPr>
              <w:spacing w:line="520" w:lineRule="exact"/>
              <w:rPr>
                <w:rFonts w:hint="eastAsia" w:ascii="宋体" w:hAnsi="宋体" w:cs="宋体"/>
                <w:bCs/>
                <w:sz w:val="21"/>
                <w:szCs w:val="21"/>
              </w:rPr>
            </w:pPr>
            <w:r>
              <w:rPr>
                <w:rFonts w:hint="eastAsia" w:ascii="宋体" w:hAnsi="宋体" w:cs="宋体"/>
                <w:bCs/>
                <w:sz w:val="21"/>
                <w:szCs w:val="21"/>
              </w:rPr>
              <w:t>②个人确认：教职工查询并确认合同信息，确认无误后提交给所在单位审核；</w:t>
            </w:r>
          </w:p>
          <w:p w14:paraId="2788FEA6">
            <w:pPr>
              <w:spacing w:line="520" w:lineRule="exact"/>
              <w:rPr>
                <w:rFonts w:hint="eastAsia" w:ascii="宋体" w:hAnsi="宋体" w:cs="宋体"/>
                <w:bCs/>
                <w:sz w:val="21"/>
                <w:szCs w:val="21"/>
              </w:rPr>
            </w:pPr>
            <w:r>
              <w:rPr>
                <w:rFonts w:hint="eastAsia" w:ascii="宋体" w:hAnsi="宋体" w:cs="宋体"/>
                <w:bCs/>
                <w:sz w:val="21"/>
                <w:szCs w:val="21"/>
              </w:rPr>
              <w:t>③单位审核：单位可审核通过、不通过，或退回修改，填写审核意见后提交给组织人事部审核；单位也可直接登记教职工的合同信息，提交给组织人事部审核；</w:t>
            </w:r>
          </w:p>
          <w:p w14:paraId="4D9DF055">
            <w:pPr>
              <w:spacing w:line="520" w:lineRule="exact"/>
              <w:rPr>
                <w:rFonts w:hint="eastAsia" w:ascii="宋体" w:hAnsi="宋体" w:cs="宋体"/>
                <w:bCs/>
                <w:sz w:val="21"/>
                <w:szCs w:val="21"/>
              </w:rPr>
            </w:pPr>
            <w:r>
              <w:rPr>
                <w:rFonts w:hint="eastAsia" w:ascii="宋体" w:hAnsi="宋体" w:cs="宋体"/>
                <w:bCs/>
                <w:sz w:val="21"/>
                <w:szCs w:val="21"/>
              </w:rPr>
              <w:t>④组织人事部审核：组织人事部审核通过后，系统生成一条正在执行中的合同记录。</w:t>
            </w:r>
          </w:p>
          <w:p w14:paraId="3F19D867">
            <w:pPr>
              <w:spacing w:line="520" w:lineRule="exact"/>
              <w:rPr>
                <w:rFonts w:hint="eastAsia" w:ascii="宋体" w:hAnsi="宋体" w:cs="宋体"/>
                <w:bCs/>
                <w:sz w:val="21"/>
                <w:szCs w:val="21"/>
              </w:rPr>
            </w:pPr>
            <w:r>
              <w:rPr>
                <w:rFonts w:hint="eastAsia" w:ascii="宋体" w:hAnsi="宋体" w:cs="宋体"/>
                <w:bCs/>
                <w:sz w:val="21"/>
                <w:szCs w:val="21"/>
              </w:rPr>
              <w:t>1.4.3.合同到期提醒</w:t>
            </w:r>
          </w:p>
          <w:p w14:paraId="5D8FB3FE">
            <w:pPr>
              <w:spacing w:line="520" w:lineRule="exact"/>
              <w:rPr>
                <w:rFonts w:hint="eastAsia" w:ascii="宋体" w:hAnsi="宋体" w:cs="宋体"/>
                <w:bCs/>
                <w:sz w:val="21"/>
                <w:szCs w:val="21"/>
              </w:rPr>
            </w:pPr>
            <w:r>
              <w:rPr>
                <w:rFonts w:hint="eastAsia" w:ascii="宋体" w:hAnsi="宋体" w:cs="宋体"/>
                <w:bCs/>
                <w:sz w:val="21"/>
                <w:szCs w:val="21"/>
              </w:rPr>
              <w:t>即将到期的合同，系统可自动提醒相关人员办理续签手续。提醒方式可以是系统消息提醒，相关人员直接在系统中查看未读消息。</w:t>
            </w:r>
          </w:p>
          <w:p w14:paraId="6CF90989">
            <w:pPr>
              <w:spacing w:line="520" w:lineRule="exact"/>
              <w:rPr>
                <w:rFonts w:hint="eastAsia" w:ascii="宋体" w:hAnsi="宋体" w:cs="宋体"/>
                <w:bCs/>
                <w:sz w:val="21"/>
                <w:szCs w:val="21"/>
              </w:rPr>
            </w:pPr>
            <w:r>
              <w:rPr>
                <w:rFonts w:hint="eastAsia" w:ascii="宋体" w:hAnsi="宋体" w:cs="宋体"/>
                <w:bCs/>
                <w:sz w:val="21"/>
                <w:szCs w:val="21"/>
              </w:rPr>
              <w:t>1.4.4.续签合同管理</w:t>
            </w:r>
          </w:p>
          <w:p w14:paraId="28EFCD0C">
            <w:pPr>
              <w:spacing w:line="520" w:lineRule="exact"/>
              <w:rPr>
                <w:rFonts w:hint="eastAsia" w:ascii="宋体" w:hAnsi="宋体" w:cs="宋体"/>
                <w:bCs/>
                <w:sz w:val="21"/>
                <w:szCs w:val="21"/>
              </w:rPr>
            </w:pPr>
            <w:r>
              <w:rPr>
                <w:rFonts w:hint="eastAsia" w:ascii="宋体" w:hAnsi="宋体" w:cs="宋体"/>
                <w:bCs/>
                <w:sz w:val="21"/>
                <w:szCs w:val="21"/>
              </w:rPr>
              <w:t>组织人事部发起合同续签流程，确认合同类型、签订日期、生效日期、结束日期等信息，并上传合同扫描件提交给个人确认；教职工确认无误后提交给所在单位和组织人事部审核；也可由组织人事部直接进行续签信息登记。续签完成后，生成新的合同记录，原来的合同记录变为历史合同信息。</w:t>
            </w:r>
          </w:p>
          <w:p w14:paraId="129A1E01">
            <w:pPr>
              <w:spacing w:line="520" w:lineRule="exact"/>
              <w:rPr>
                <w:rFonts w:hint="eastAsia" w:ascii="宋体" w:hAnsi="宋体" w:cs="宋体"/>
                <w:bCs/>
                <w:sz w:val="21"/>
                <w:szCs w:val="21"/>
              </w:rPr>
            </w:pPr>
            <w:r>
              <w:rPr>
                <w:rFonts w:hint="eastAsia" w:ascii="宋体" w:hAnsi="宋体" w:cs="宋体"/>
                <w:bCs/>
                <w:sz w:val="21"/>
                <w:szCs w:val="21"/>
              </w:rPr>
              <w:t>1.4.5.合同解除登记</w:t>
            </w:r>
          </w:p>
          <w:p w14:paraId="3D7DBB45">
            <w:pPr>
              <w:spacing w:line="520" w:lineRule="exact"/>
              <w:rPr>
                <w:rFonts w:hint="eastAsia" w:ascii="宋体" w:hAnsi="宋体" w:cs="宋体"/>
                <w:bCs/>
                <w:sz w:val="21"/>
                <w:szCs w:val="21"/>
              </w:rPr>
            </w:pPr>
            <w:r>
              <w:rPr>
                <w:rFonts w:hint="eastAsia" w:ascii="宋体" w:hAnsi="宋体" w:cs="宋体"/>
                <w:bCs/>
                <w:sz w:val="21"/>
                <w:szCs w:val="21"/>
              </w:rPr>
              <w:t>组织人事部可登记合同解除日期、解除原因。合同解除后，合同记录变为历史合同信息。</w:t>
            </w:r>
          </w:p>
          <w:p w14:paraId="1B8614AB">
            <w:pPr>
              <w:spacing w:line="520" w:lineRule="exact"/>
              <w:rPr>
                <w:rFonts w:hint="eastAsia" w:ascii="宋体" w:hAnsi="宋体" w:cs="宋体"/>
                <w:bCs/>
                <w:sz w:val="21"/>
                <w:szCs w:val="21"/>
              </w:rPr>
            </w:pPr>
            <w:r>
              <w:rPr>
                <w:rFonts w:hint="eastAsia" w:ascii="宋体" w:hAnsi="宋体" w:cs="宋体"/>
                <w:bCs/>
                <w:sz w:val="21"/>
                <w:szCs w:val="21"/>
              </w:rPr>
              <w:t>1.4.6.合同模板设置</w:t>
            </w:r>
          </w:p>
          <w:p w14:paraId="01D3AC5B">
            <w:pPr>
              <w:spacing w:line="520" w:lineRule="exact"/>
              <w:rPr>
                <w:rFonts w:hint="eastAsia" w:ascii="宋体" w:hAnsi="宋体" w:cs="宋体"/>
                <w:bCs/>
                <w:sz w:val="21"/>
                <w:szCs w:val="21"/>
              </w:rPr>
            </w:pPr>
            <w:r>
              <w:rPr>
                <w:rFonts w:hint="eastAsia" w:ascii="宋体" w:hAnsi="宋体" w:cs="宋体"/>
                <w:bCs/>
                <w:sz w:val="21"/>
                <w:szCs w:val="21"/>
              </w:rPr>
              <w:t>合同登记时录入具体的合同内容，即可通过系统自动生成合同文本并打印。不同类型的合同，文本内容及打印模板也不同，可在系统中灵活设置多套合同打印模板，如劳动合同、岗位聘任协议、劳务协议、专业技术职务聘任人员服务协议、访学研修服务协议、教职工在职攻读博士学位服务协议等。打印时根据合同类型自动调用相应的合同打印模板。</w:t>
            </w:r>
          </w:p>
          <w:p w14:paraId="3087D66F">
            <w:pPr>
              <w:spacing w:line="520" w:lineRule="exact"/>
              <w:rPr>
                <w:rFonts w:hint="eastAsia" w:ascii="宋体" w:hAnsi="宋体" w:cs="宋体"/>
                <w:bCs/>
                <w:sz w:val="21"/>
                <w:szCs w:val="21"/>
              </w:rPr>
            </w:pPr>
            <w:r>
              <w:rPr>
                <w:rFonts w:hint="eastAsia" w:ascii="宋体" w:hAnsi="宋体" w:cs="宋体"/>
                <w:bCs/>
                <w:sz w:val="21"/>
                <w:szCs w:val="21"/>
              </w:rPr>
              <w:t>1.4.7.合同查询</w:t>
            </w:r>
          </w:p>
          <w:p w14:paraId="663A1CB7">
            <w:pPr>
              <w:spacing w:line="520" w:lineRule="exact"/>
              <w:rPr>
                <w:rFonts w:hint="eastAsia" w:ascii="宋体" w:hAnsi="宋体" w:cs="宋体"/>
                <w:bCs/>
                <w:sz w:val="21"/>
                <w:szCs w:val="21"/>
              </w:rPr>
            </w:pPr>
            <w:r>
              <w:rPr>
                <w:rFonts w:hint="eastAsia" w:ascii="宋体" w:hAnsi="宋体" w:cs="宋体"/>
                <w:bCs/>
                <w:sz w:val="21"/>
                <w:szCs w:val="21"/>
              </w:rPr>
              <w:t>组织人事部可查看全校所有的合同信息，包括聘用单位、合同种类、合同期限、签订日期、生效日期、结束日期、合同状态、是否当前合同等。</w:t>
            </w:r>
          </w:p>
          <w:p w14:paraId="5E6C98C2">
            <w:pPr>
              <w:spacing w:line="520" w:lineRule="exact"/>
              <w:rPr>
                <w:rFonts w:hint="eastAsia" w:ascii="宋体" w:hAnsi="宋体" w:cs="宋体"/>
                <w:bCs/>
                <w:sz w:val="21"/>
                <w:szCs w:val="21"/>
              </w:rPr>
            </w:pPr>
            <w:r>
              <w:rPr>
                <w:rFonts w:hint="eastAsia" w:ascii="宋体" w:hAnsi="宋体" w:cs="宋体"/>
                <w:bCs/>
                <w:sz w:val="21"/>
                <w:szCs w:val="21"/>
              </w:rPr>
              <w:t>2.考勤管理</w:t>
            </w:r>
          </w:p>
          <w:p w14:paraId="072D231F">
            <w:pPr>
              <w:spacing w:line="520" w:lineRule="exact"/>
              <w:rPr>
                <w:rFonts w:hint="eastAsia" w:ascii="宋体" w:hAnsi="宋体" w:cs="宋体"/>
                <w:bCs/>
                <w:sz w:val="21"/>
                <w:szCs w:val="21"/>
              </w:rPr>
            </w:pPr>
            <w:r>
              <w:rPr>
                <w:rFonts w:hint="eastAsia" w:ascii="宋体" w:hAnsi="宋体" w:cs="宋体"/>
                <w:bCs/>
                <w:sz w:val="21"/>
                <w:szCs w:val="21"/>
              </w:rPr>
              <w:t>考勤管理是对教职工考勤业务的综合管理，支持请假业务的流程化管理，支持按请假数据生成每月考勤流水。</w:t>
            </w:r>
          </w:p>
          <w:p w14:paraId="69A90B2A">
            <w:pPr>
              <w:spacing w:line="520" w:lineRule="exact"/>
              <w:rPr>
                <w:rFonts w:hint="eastAsia" w:ascii="宋体" w:hAnsi="宋体" w:cs="宋体"/>
                <w:bCs/>
                <w:sz w:val="21"/>
                <w:szCs w:val="21"/>
              </w:rPr>
            </w:pPr>
            <w:r>
              <w:rPr>
                <w:rFonts w:hint="eastAsia" w:ascii="宋体" w:hAnsi="宋体" w:cs="宋体"/>
                <w:bCs/>
                <w:sz w:val="21"/>
                <w:szCs w:val="21"/>
              </w:rPr>
              <w:t>2.1.考勤上报</w:t>
            </w:r>
          </w:p>
          <w:p w14:paraId="151E3F39">
            <w:pPr>
              <w:spacing w:line="520" w:lineRule="exact"/>
              <w:rPr>
                <w:rFonts w:hint="eastAsia" w:ascii="宋体" w:hAnsi="宋体" w:cs="宋体"/>
                <w:bCs/>
                <w:sz w:val="21"/>
                <w:szCs w:val="21"/>
              </w:rPr>
            </w:pPr>
            <w:r>
              <w:rPr>
                <w:rFonts w:hint="eastAsia" w:ascii="宋体" w:hAnsi="宋体" w:cs="宋体"/>
                <w:bCs/>
                <w:sz w:val="21"/>
                <w:szCs w:val="21"/>
              </w:rPr>
              <w:t>支持教职工个人、二级院系和职能处室考勤数据的上报和审核，组织人事部统计汇总考勤信息。支持考勤数据导出和导入。</w:t>
            </w:r>
          </w:p>
          <w:p w14:paraId="446C35F0">
            <w:pPr>
              <w:spacing w:line="520" w:lineRule="exact"/>
              <w:rPr>
                <w:rFonts w:hint="eastAsia" w:ascii="宋体" w:hAnsi="宋体" w:cs="宋体"/>
                <w:bCs/>
                <w:sz w:val="21"/>
                <w:szCs w:val="21"/>
              </w:rPr>
            </w:pPr>
            <w:r>
              <w:rPr>
                <w:rFonts w:hint="eastAsia" w:ascii="宋体" w:hAnsi="宋体" w:cs="宋体"/>
                <w:bCs/>
                <w:sz w:val="21"/>
                <w:szCs w:val="21"/>
              </w:rPr>
              <w:t>①启动考勤：可按月启动考勤上报，根据考勤日期、节假日等系统初始化应出勤、节假日天数等数据；可初始化参加考勤人员信息，并启动单位填报。</w:t>
            </w:r>
          </w:p>
          <w:p w14:paraId="065E15ED">
            <w:pPr>
              <w:spacing w:line="520" w:lineRule="exact"/>
              <w:rPr>
                <w:rFonts w:hint="eastAsia" w:ascii="宋体" w:hAnsi="宋体" w:cs="宋体"/>
                <w:bCs/>
                <w:sz w:val="21"/>
                <w:szCs w:val="21"/>
              </w:rPr>
            </w:pPr>
            <w:r>
              <w:rPr>
                <w:rFonts w:hint="eastAsia" w:ascii="宋体" w:hAnsi="宋体" w:cs="宋体"/>
                <w:bCs/>
                <w:sz w:val="21"/>
                <w:szCs w:val="21"/>
              </w:rPr>
              <w:t>②单位填报：各二级单位按月填报教职工详细的考勤数据，包括实际出勤天数、出差天数、请假天数（事假天数、病假天数等），并上传考勤表扫描件，然后整体提交给组织人事部审核。可在线生成和打印各月份的考勤表。</w:t>
            </w:r>
          </w:p>
          <w:p w14:paraId="627BE17D">
            <w:pPr>
              <w:spacing w:line="520" w:lineRule="exact"/>
              <w:rPr>
                <w:rFonts w:hint="eastAsia" w:ascii="宋体" w:hAnsi="宋体" w:cs="宋体"/>
                <w:bCs/>
                <w:sz w:val="21"/>
                <w:szCs w:val="21"/>
              </w:rPr>
            </w:pPr>
            <w:r>
              <w:rPr>
                <w:rFonts w:hint="eastAsia" w:ascii="宋体" w:hAnsi="宋体" w:cs="宋体"/>
                <w:bCs/>
                <w:sz w:val="21"/>
                <w:szCs w:val="21"/>
              </w:rPr>
              <w:t>③考勤审核：组织人事部对各单位提交的考勤数据进行审核，有问题的可退回修改。系统自动汇总全校考勤数据，可查询、导出和统计。</w:t>
            </w:r>
          </w:p>
          <w:p w14:paraId="458661AF">
            <w:pPr>
              <w:spacing w:line="520" w:lineRule="exact"/>
              <w:rPr>
                <w:rFonts w:hint="eastAsia" w:ascii="宋体" w:hAnsi="宋体" w:cs="宋体"/>
                <w:bCs/>
                <w:sz w:val="21"/>
                <w:szCs w:val="21"/>
              </w:rPr>
            </w:pPr>
            <w:r>
              <w:rPr>
                <w:rFonts w:hint="eastAsia" w:ascii="宋体" w:hAnsi="宋体" w:cs="宋体"/>
                <w:bCs/>
                <w:sz w:val="21"/>
                <w:szCs w:val="21"/>
              </w:rPr>
              <w:t>④考勤统计：系统支持生成考勤月报、季报、年报等汇总报表的生成。</w:t>
            </w:r>
          </w:p>
          <w:p w14:paraId="4F5E5848">
            <w:pPr>
              <w:spacing w:line="520" w:lineRule="exact"/>
              <w:rPr>
                <w:rFonts w:hint="eastAsia" w:ascii="宋体" w:hAnsi="宋体" w:cs="宋体"/>
                <w:bCs/>
                <w:sz w:val="21"/>
                <w:szCs w:val="21"/>
              </w:rPr>
            </w:pPr>
            <w:r>
              <w:rPr>
                <w:rFonts w:hint="eastAsia" w:ascii="宋体" w:hAnsi="宋体" w:cs="宋体"/>
                <w:bCs/>
                <w:sz w:val="21"/>
                <w:szCs w:val="21"/>
              </w:rPr>
              <w:t>⑤考勤设置：1）考勤全局设置：可设置全局考勤人员范围。2）考勤分组设置：可设置不同的考勤分组绑定不同的人员范围。3）考勤类型：可设置各种假以及是否扣减。4）考勤人员设置：可设置某个人员是否参加考勤。5）节假日设置：设置节假日日期范围。</w:t>
            </w:r>
          </w:p>
          <w:p w14:paraId="716D9699">
            <w:pPr>
              <w:spacing w:line="520" w:lineRule="exact"/>
              <w:rPr>
                <w:rFonts w:hint="eastAsia" w:ascii="宋体" w:hAnsi="宋体" w:cs="宋体"/>
                <w:bCs/>
                <w:sz w:val="21"/>
                <w:szCs w:val="21"/>
              </w:rPr>
            </w:pPr>
            <w:r>
              <w:rPr>
                <w:rFonts w:hint="eastAsia" w:ascii="宋体" w:hAnsi="宋体" w:cs="宋体"/>
                <w:bCs/>
                <w:sz w:val="21"/>
                <w:szCs w:val="21"/>
              </w:rPr>
              <w:t>2.2.请假管理</w:t>
            </w:r>
          </w:p>
          <w:p w14:paraId="1437609F">
            <w:pPr>
              <w:spacing w:line="520" w:lineRule="exact"/>
              <w:rPr>
                <w:rFonts w:hint="eastAsia" w:ascii="宋体" w:hAnsi="宋体" w:cs="宋体"/>
                <w:bCs/>
                <w:sz w:val="21"/>
                <w:szCs w:val="21"/>
              </w:rPr>
            </w:pPr>
            <w:r>
              <w:rPr>
                <w:rFonts w:hint="eastAsia" w:ascii="宋体" w:hAnsi="宋体" w:cs="宋体"/>
                <w:bCs/>
                <w:sz w:val="21"/>
                <w:szCs w:val="21"/>
              </w:rPr>
              <w:t>系统支持各类请假业务的流程设置、申请与审核，可灵活设置请假审核流程。</w:t>
            </w:r>
          </w:p>
          <w:p w14:paraId="2B82831D">
            <w:pPr>
              <w:spacing w:line="520" w:lineRule="exact"/>
              <w:rPr>
                <w:rFonts w:hint="eastAsia" w:ascii="宋体" w:hAnsi="宋体" w:cs="宋体"/>
                <w:bCs/>
                <w:sz w:val="21"/>
                <w:szCs w:val="21"/>
              </w:rPr>
            </w:pPr>
            <w:r>
              <w:rPr>
                <w:rFonts w:hint="eastAsia" w:ascii="宋体" w:hAnsi="宋体" w:cs="宋体"/>
                <w:bCs/>
                <w:sz w:val="21"/>
                <w:szCs w:val="21"/>
              </w:rPr>
              <w:t>①请假申请：个人可以通过系统填写请假申请，包括请假类型、开始时间、结束时间、请假时长、请假事由等，并上传请假材料附件，提交审核。</w:t>
            </w:r>
          </w:p>
          <w:p w14:paraId="48ECB0B9">
            <w:pPr>
              <w:spacing w:line="520" w:lineRule="exact"/>
              <w:rPr>
                <w:rFonts w:hint="eastAsia" w:ascii="宋体" w:hAnsi="宋体" w:cs="宋体"/>
                <w:bCs/>
                <w:sz w:val="21"/>
                <w:szCs w:val="21"/>
              </w:rPr>
            </w:pPr>
            <w:r>
              <w:rPr>
                <w:rFonts w:hint="eastAsia" w:ascii="宋体" w:hAnsi="宋体" w:cs="宋体"/>
                <w:bCs/>
                <w:sz w:val="21"/>
                <w:szCs w:val="21"/>
              </w:rPr>
              <w:t>②单位审核：单位对教职工请假申请进行审批，可同意或驳回，提交审批意见及在线签名。</w:t>
            </w:r>
          </w:p>
          <w:p w14:paraId="3B448418">
            <w:pPr>
              <w:spacing w:line="520" w:lineRule="exact"/>
              <w:rPr>
                <w:rFonts w:hint="eastAsia" w:ascii="宋体" w:hAnsi="宋体" w:cs="宋体"/>
                <w:bCs/>
                <w:sz w:val="21"/>
                <w:szCs w:val="21"/>
              </w:rPr>
            </w:pPr>
            <w:r>
              <w:rPr>
                <w:rFonts w:hint="eastAsia" w:ascii="宋体" w:hAnsi="宋体" w:cs="宋体"/>
                <w:bCs/>
                <w:sz w:val="21"/>
                <w:szCs w:val="21"/>
              </w:rPr>
              <w:t>③学校审核：组织人事部进行审批，可同意或驳回，提交审批意见及在线签名。</w:t>
            </w:r>
          </w:p>
          <w:p w14:paraId="4E8C7338">
            <w:pPr>
              <w:spacing w:line="520" w:lineRule="exact"/>
              <w:rPr>
                <w:rFonts w:hint="eastAsia" w:ascii="宋体" w:hAnsi="宋体" w:cs="宋体"/>
                <w:bCs/>
                <w:sz w:val="21"/>
                <w:szCs w:val="21"/>
              </w:rPr>
            </w:pPr>
            <w:r>
              <w:rPr>
                <w:rFonts w:hint="eastAsia" w:ascii="宋体" w:hAnsi="宋体" w:cs="宋体"/>
                <w:bCs/>
                <w:sz w:val="21"/>
                <w:szCs w:val="21"/>
              </w:rPr>
              <w:t>④销假登记：教职工进行销假登记，组织人事部进行审核，并对未按时进行销假登记情况发出提醒（请假本人及组织人事部）。</w:t>
            </w:r>
          </w:p>
          <w:p w14:paraId="7D2D17C3">
            <w:pPr>
              <w:spacing w:line="520" w:lineRule="exact"/>
              <w:rPr>
                <w:rFonts w:hint="eastAsia" w:ascii="宋体" w:hAnsi="宋体" w:cs="宋体"/>
                <w:bCs/>
                <w:sz w:val="21"/>
                <w:szCs w:val="21"/>
              </w:rPr>
            </w:pPr>
            <w:r>
              <w:rPr>
                <w:rFonts w:hint="eastAsia" w:ascii="宋体" w:hAnsi="宋体" w:cs="宋体"/>
                <w:bCs/>
                <w:sz w:val="21"/>
                <w:szCs w:val="21"/>
              </w:rPr>
              <w:t>⑤查询统计：对教职工请假类型、日期、时间及审批状态等进行查询。</w:t>
            </w:r>
          </w:p>
          <w:p w14:paraId="45F58DAC">
            <w:pPr>
              <w:spacing w:line="520" w:lineRule="exact"/>
              <w:rPr>
                <w:rFonts w:hint="eastAsia" w:ascii="宋体" w:hAnsi="宋体" w:cs="宋体"/>
                <w:bCs/>
                <w:sz w:val="21"/>
                <w:szCs w:val="21"/>
              </w:rPr>
            </w:pPr>
            <w:r>
              <w:rPr>
                <w:rFonts w:hint="eastAsia" w:ascii="宋体" w:hAnsi="宋体" w:cs="宋体"/>
                <w:bCs/>
                <w:sz w:val="21"/>
                <w:szCs w:val="21"/>
              </w:rPr>
              <w:t>3.工资管理</w:t>
            </w:r>
          </w:p>
          <w:p w14:paraId="7848E6CF">
            <w:pPr>
              <w:spacing w:line="520" w:lineRule="exact"/>
              <w:rPr>
                <w:rFonts w:hint="eastAsia" w:ascii="宋体" w:hAnsi="宋体" w:cs="宋体"/>
                <w:bCs/>
                <w:sz w:val="21"/>
                <w:szCs w:val="21"/>
              </w:rPr>
            </w:pPr>
            <w:r>
              <w:rPr>
                <w:rFonts w:hint="eastAsia" w:ascii="宋体" w:hAnsi="宋体" w:cs="宋体"/>
                <w:bCs/>
                <w:sz w:val="21"/>
                <w:szCs w:val="21"/>
              </w:rPr>
              <w:t>系统支持工资收入、津补贴和绩效收入管理，支持将教职工的工作业绩、工作质量、工作效果、工作年限与教职工的收入挂钩，建立与学校财务收支状况相联系的动态分配机制。</w:t>
            </w:r>
          </w:p>
          <w:p w14:paraId="1FCB7F8C">
            <w:pPr>
              <w:spacing w:line="520" w:lineRule="exact"/>
              <w:rPr>
                <w:rFonts w:hint="eastAsia" w:ascii="宋体" w:hAnsi="宋体" w:cs="宋体"/>
                <w:bCs/>
                <w:sz w:val="21"/>
                <w:szCs w:val="21"/>
              </w:rPr>
            </w:pPr>
            <w:r>
              <w:rPr>
                <w:rFonts w:hint="eastAsia" w:ascii="宋体" w:hAnsi="宋体" w:cs="宋体"/>
                <w:bCs/>
                <w:sz w:val="21"/>
                <w:szCs w:val="21"/>
              </w:rPr>
              <w:t>3.1.工资收入、津补贴和绩效收入变动</w:t>
            </w:r>
          </w:p>
          <w:p w14:paraId="5CE8EA82">
            <w:pPr>
              <w:spacing w:line="520" w:lineRule="exact"/>
              <w:rPr>
                <w:rFonts w:hint="eastAsia" w:ascii="宋体" w:hAnsi="宋体" w:cs="宋体"/>
                <w:bCs/>
                <w:sz w:val="21"/>
                <w:szCs w:val="21"/>
              </w:rPr>
            </w:pPr>
            <w:r>
              <w:rPr>
                <w:rFonts w:hint="eastAsia" w:ascii="宋体" w:hAnsi="宋体" w:cs="宋体"/>
                <w:bCs/>
                <w:sz w:val="21"/>
                <w:szCs w:val="21"/>
              </w:rPr>
              <w:t>人事异动、岗位/职务变动等业务办理完成后，可自动生成工资起薪、调薪和停薪通知，也可手动新增变动。变动办理时，可查看教职工基本信息及子集信息，变动工资项根据工资变动原因设置的工资项展示，工资项金额根据标准套用或公式自动计算，也支持手动调整；支持根据变动日期和兑现日期自动生成补发月数及补发金额。</w:t>
            </w:r>
          </w:p>
          <w:p w14:paraId="6E797675">
            <w:pPr>
              <w:spacing w:line="520" w:lineRule="exact"/>
              <w:rPr>
                <w:rFonts w:hint="eastAsia" w:ascii="宋体" w:hAnsi="宋体" w:cs="宋体"/>
                <w:bCs/>
                <w:sz w:val="21"/>
                <w:szCs w:val="21"/>
              </w:rPr>
            </w:pPr>
            <w:r>
              <w:rPr>
                <w:rFonts w:hint="eastAsia" w:ascii="宋体" w:hAnsi="宋体" w:cs="宋体"/>
                <w:bCs/>
                <w:sz w:val="21"/>
                <w:szCs w:val="21"/>
              </w:rPr>
              <w:t>3.2.查询统计</w:t>
            </w:r>
          </w:p>
          <w:p w14:paraId="44C262A9">
            <w:pPr>
              <w:spacing w:line="520" w:lineRule="exact"/>
              <w:rPr>
                <w:rFonts w:hint="eastAsia" w:ascii="宋体" w:hAnsi="宋体" w:cs="宋体"/>
                <w:bCs/>
                <w:sz w:val="21"/>
                <w:szCs w:val="21"/>
              </w:rPr>
            </w:pPr>
            <w:r>
              <w:rPr>
                <w:rFonts w:hint="eastAsia" w:ascii="宋体" w:hAnsi="宋体" w:cs="宋体"/>
                <w:bCs/>
                <w:sz w:val="21"/>
                <w:szCs w:val="21"/>
              </w:rPr>
              <w:t>组织人事部能按年度、按单位等指标，查看年度预算总额，已发金额，剩余金额，打印汇总表；支持查看历年发放记录。</w:t>
            </w:r>
          </w:p>
          <w:p w14:paraId="704FC67B">
            <w:pPr>
              <w:spacing w:line="520" w:lineRule="exact"/>
              <w:rPr>
                <w:rFonts w:hint="eastAsia" w:ascii="宋体" w:hAnsi="宋体" w:cs="宋体"/>
                <w:bCs/>
                <w:sz w:val="21"/>
                <w:szCs w:val="21"/>
              </w:rPr>
            </w:pPr>
            <w:r>
              <w:rPr>
                <w:rFonts w:hint="eastAsia" w:ascii="宋体" w:hAnsi="宋体" w:cs="宋体"/>
                <w:bCs/>
                <w:sz w:val="21"/>
                <w:szCs w:val="21"/>
              </w:rPr>
              <w:t>4.增量绩效管理</w:t>
            </w:r>
          </w:p>
          <w:p w14:paraId="3F7E5BC3">
            <w:pPr>
              <w:spacing w:line="520" w:lineRule="exact"/>
              <w:rPr>
                <w:rFonts w:hint="eastAsia" w:ascii="宋体" w:hAnsi="宋体" w:cs="宋体"/>
                <w:bCs/>
                <w:sz w:val="21"/>
                <w:szCs w:val="21"/>
              </w:rPr>
            </w:pPr>
            <w:r>
              <w:rPr>
                <w:rFonts w:hint="eastAsia" w:ascii="宋体" w:hAnsi="宋体" w:cs="宋体"/>
                <w:bCs/>
                <w:sz w:val="21"/>
                <w:szCs w:val="21"/>
              </w:rPr>
              <w:t>系统支持增量绩效管理，支持组织人事部将增量绩效划拨给院系，院系自主分配后提交发放明细到组织人事部，组织人事部汇总后进行发放。</w:t>
            </w:r>
          </w:p>
          <w:p w14:paraId="6D932413">
            <w:pPr>
              <w:spacing w:line="520" w:lineRule="exact"/>
              <w:rPr>
                <w:rFonts w:hint="eastAsia" w:ascii="宋体" w:hAnsi="宋体" w:cs="宋体"/>
                <w:bCs/>
                <w:sz w:val="21"/>
                <w:szCs w:val="21"/>
              </w:rPr>
            </w:pPr>
            <w:r>
              <w:rPr>
                <w:rFonts w:hint="eastAsia" w:ascii="宋体" w:hAnsi="宋体" w:cs="宋体"/>
                <w:bCs/>
                <w:sz w:val="21"/>
                <w:szCs w:val="21"/>
              </w:rPr>
              <w:t>4.1.创建批次</w:t>
            </w:r>
          </w:p>
          <w:p w14:paraId="40DBDDBF">
            <w:pPr>
              <w:spacing w:line="520" w:lineRule="exact"/>
              <w:rPr>
                <w:rFonts w:hint="eastAsia" w:ascii="宋体" w:hAnsi="宋体" w:cs="宋体"/>
                <w:bCs/>
                <w:sz w:val="21"/>
                <w:szCs w:val="21"/>
              </w:rPr>
            </w:pPr>
            <w:r>
              <w:rPr>
                <w:rFonts w:hint="eastAsia" w:ascii="宋体" w:hAnsi="宋体" w:cs="宋体"/>
                <w:bCs/>
                <w:sz w:val="21"/>
                <w:szCs w:val="21"/>
              </w:rPr>
              <w:t>组织人事部创建增量绩效批次，可设置发放年份、发放月份，可对批次进行启停操作。</w:t>
            </w:r>
          </w:p>
          <w:p w14:paraId="4DD6B124">
            <w:pPr>
              <w:spacing w:line="520" w:lineRule="exact"/>
              <w:rPr>
                <w:rFonts w:hint="eastAsia" w:ascii="宋体" w:hAnsi="宋体" w:cs="宋体"/>
                <w:bCs/>
                <w:sz w:val="21"/>
                <w:szCs w:val="21"/>
              </w:rPr>
            </w:pPr>
            <w:r>
              <w:rPr>
                <w:rFonts w:hint="eastAsia" w:ascii="宋体" w:hAnsi="宋体" w:cs="宋体"/>
                <w:bCs/>
                <w:sz w:val="21"/>
                <w:szCs w:val="21"/>
              </w:rPr>
              <w:t>4.2.绩效划拨</w:t>
            </w:r>
          </w:p>
          <w:p w14:paraId="40569A3B">
            <w:pPr>
              <w:spacing w:line="520" w:lineRule="exact"/>
              <w:rPr>
                <w:rFonts w:hint="eastAsia" w:ascii="宋体" w:hAnsi="宋体" w:cs="宋体"/>
                <w:bCs/>
                <w:sz w:val="21"/>
                <w:szCs w:val="21"/>
              </w:rPr>
            </w:pPr>
            <w:r>
              <w:rPr>
                <w:rFonts w:hint="eastAsia" w:ascii="宋体" w:hAnsi="宋体" w:cs="宋体"/>
                <w:bCs/>
                <w:sz w:val="21"/>
                <w:szCs w:val="21"/>
              </w:rPr>
              <w:t>组织人事部将增量绩效划拨给二级单位，可批量划拨也可单个新增划拨，划拨时可选择划拨单位、划拨金额。可查看增量绩效划拨的记录，包括划拨人、划拨时间、划拨金额等，可修改、删除划拨。</w:t>
            </w:r>
          </w:p>
          <w:p w14:paraId="55678F57">
            <w:pPr>
              <w:spacing w:line="520" w:lineRule="exact"/>
              <w:rPr>
                <w:rFonts w:hint="eastAsia" w:ascii="宋体" w:hAnsi="宋体" w:cs="宋体"/>
                <w:bCs/>
                <w:sz w:val="21"/>
                <w:szCs w:val="21"/>
              </w:rPr>
            </w:pPr>
            <w:r>
              <w:rPr>
                <w:rFonts w:hint="eastAsia" w:ascii="宋体" w:hAnsi="宋体" w:cs="宋体"/>
                <w:bCs/>
                <w:sz w:val="21"/>
                <w:szCs w:val="21"/>
              </w:rPr>
              <w:t>4.3.单位上报</w:t>
            </w:r>
          </w:p>
          <w:p w14:paraId="00F2E882">
            <w:pPr>
              <w:spacing w:line="520" w:lineRule="exact"/>
              <w:rPr>
                <w:rFonts w:hint="eastAsia" w:ascii="宋体" w:hAnsi="宋体" w:cs="宋体"/>
                <w:bCs/>
                <w:sz w:val="21"/>
                <w:szCs w:val="21"/>
              </w:rPr>
            </w:pPr>
            <w:r>
              <w:rPr>
                <w:rFonts w:hint="eastAsia" w:ascii="宋体" w:hAnsi="宋体" w:cs="宋体"/>
                <w:bCs/>
                <w:sz w:val="21"/>
                <w:szCs w:val="21"/>
              </w:rPr>
              <w:t>增量绩效填报启动后，单位可进行增量绩效上报；可批量导入绩效发放数据，也可进行单个新增修改删除操作，填报数据时可以验证提交总额。</w:t>
            </w:r>
          </w:p>
          <w:p w14:paraId="01CE65EC">
            <w:pPr>
              <w:spacing w:line="520" w:lineRule="exact"/>
              <w:rPr>
                <w:rFonts w:hint="eastAsia" w:ascii="宋体" w:hAnsi="宋体" w:cs="宋体"/>
                <w:bCs/>
                <w:sz w:val="21"/>
                <w:szCs w:val="21"/>
              </w:rPr>
            </w:pPr>
            <w:r>
              <w:rPr>
                <w:rFonts w:hint="eastAsia" w:ascii="宋体" w:hAnsi="宋体" w:cs="宋体"/>
                <w:bCs/>
                <w:sz w:val="21"/>
                <w:szCs w:val="21"/>
              </w:rPr>
              <w:t>4.4.学校审核</w:t>
            </w:r>
          </w:p>
          <w:p w14:paraId="6628C608">
            <w:pPr>
              <w:spacing w:line="520" w:lineRule="exact"/>
              <w:rPr>
                <w:rFonts w:hint="eastAsia" w:ascii="宋体" w:hAnsi="宋体" w:cs="宋体"/>
                <w:bCs/>
                <w:sz w:val="21"/>
                <w:szCs w:val="21"/>
              </w:rPr>
            </w:pPr>
            <w:r>
              <w:rPr>
                <w:rFonts w:hint="eastAsia" w:ascii="宋体" w:hAnsi="宋体" w:cs="宋体"/>
                <w:bCs/>
                <w:sz w:val="21"/>
                <w:szCs w:val="21"/>
              </w:rPr>
              <w:t>组织人事部对各二级单位提交的增量绩效发放明细进行审核，审核通过后可导表或同步给财务系统进行发放。</w:t>
            </w:r>
          </w:p>
          <w:p w14:paraId="45420831">
            <w:pPr>
              <w:spacing w:line="520" w:lineRule="exact"/>
              <w:rPr>
                <w:rFonts w:hint="eastAsia" w:ascii="宋体" w:hAnsi="宋体" w:cs="宋体"/>
                <w:bCs/>
                <w:sz w:val="21"/>
                <w:szCs w:val="21"/>
              </w:rPr>
            </w:pPr>
            <w:r>
              <w:rPr>
                <w:rFonts w:hint="eastAsia" w:ascii="宋体" w:hAnsi="宋体" w:cs="宋体"/>
                <w:bCs/>
                <w:sz w:val="21"/>
                <w:szCs w:val="21"/>
              </w:rPr>
              <w:t>4.5.查询统计</w:t>
            </w:r>
          </w:p>
          <w:p w14:paraId="114124E2">
            <w:pPr>
              <w:spacing w:line="520" w:lineRule="exact"/>
              <w:rPr>
                <w:rFonts w:hint="eastAsia" w:ascii="宋体" w:hAnsi="宋体" w:cs="宋体"/>
                <w:bCs/>
                <w:sz w:val="21"/>
                <w:szCs w:val="21"/>
              </w:rPr>
            </w:pPr>
            <w:r>
              <w:rPr>
                <w:rFonts w:hint="eastAsia" w:ascii="宋体" w:hAnsi="宋体" w:cs="宋体"/>
                <w:bCs/>
                <w:sz w:val="21"/>
                <w:szCs w:val="21"/>
              </w:rPr>
              <w:t>增量绩效发放数据可开放给教职工个人查询；二级单位可查看本单位发放明细；组织人事部可查看全校发放明细。</w:t>
            </w:r>
          </w:p>
          <w:p w14:paraId="0B30A6DB">
            <w:pPr>
              <w:spacing w:line="520" w:lineRule="exact"/>
              <w:rPr>
                <w:rFonts w:hint="eastAsia" w:ascii="宋体" w:hAnsi="宋体" w:cs="宋体"/>
                <w:bCs/>
                <w:sz w:val="21"/>
                <w:szCs w:val="21"/>
              </w:rPr>
            </w:pPr>
            <w:r>
              <w:rPr>
                <w:rFonts w:hint="eastAsia" w:ascii="宋体" w:hAnsi="宋体" w:cs="宋体"/>
                <w:bCs/>
                <w:sz w:val="21"/>
                <w:szCs w:val="21"/>
              </w:rPr>
              <w:t>5.社保管理</w:t>
            </w:r>
          </w:p>
          <w:p w14:paraId="647DCE3D">
            <w:pPr>
              <w:spacing w:line="520" w:lineRule="exact"/>
              <w:rPr>
                <w:rFonts w:hint="eastAsia" w:ascii="宋体" w:hAnsi="宋体" w:cs="宋体"/>
                <w:bCs/>
                <w:sz w:val="21"/>
                <w:szCs w:val="21"/>
              </w:rPr>
            </w:pPr>
            <w:r>
              <w:rPr>
                <w:rFonts w:hint="eastAsia" w:ascii="宋体" w:hAnsi="宋体" w:cs="宋体"/>
                <w:bCs/>
                <w:sz w:val="21"/>
                <w:szCs w:val="21"/>
              </w:rPr>
              <w:t>社保管理即对不同类别人员的养老保险、医疗保险、失业保险、工伤保险、生育保险、职业年金进行发放管理。</w:t>
            </w:r>
          </w:p>
          <w:p w14:paraId="495DDA38">
            <w:pPr>
              <w:spacing w:line="520" w:lineRule="exact"/>
              <w:rPr>
                <w:rFonts w:hint="eastAsia" w:ascii="宋体" w:hAnsi="宋体" w:cs="宋体"/>
                <w:bCs/>
                <w:sz w:val="21"/>
                <w:szCs w:val="21"/>
              </w:rPr>
            </w:pPr>
            <w:r>
              <w:rPr>
                <w:rFonts w:hint="eastAsia" w:ascii="宋体" w:hAnsi="宋体" w:cs="宋体"/>
                <w:bCs/>
                <w:sz w:val="21"/>
                <w:szCs w:val="21"/>
              </w:rPr>
              <w:t>5.1.增员和减员管理</w:t>
            </w:r>
          </w:p>
          <w:p w14:paraId="30896AF0">
            <w:pPr>
              <w:spacing w:line="520" w:lineRule="exact"/>
              <w:rPr>
                <w:rFonts w:hint="eastAsia" w:ascii="宋体" w:hAnsi="宋体" w:cs="宋体"/>
                <w:bCs/>
                <w:sz w:val="21"/>
                <w:szCs w:val="21"/>
              </w:rPr>
            </w:pPr>
            <w:r>
              <w:rPr>
                <w:rFonts w:hint="eastAsia" w:ascii="宋体" w:hAnsi="宋体" w:cs="宋体"/>
                <w:bCs/>
                <w:sz w:val="21"/>
                <w:szCs w:val="21"/>
              </w:rPr>
              <w:t>支持社保增员、变更、减员的提醒；可查看工资起薪完成后推送过来的参保人员信息；支持增员减员的业务登记和办理；进行增员登记，开始社保的缴纳；进行减员登记，停缴社保。</w:t>
            </w:r>
          </w:p>
          <w:p w14:paraId="22D855CD">
            <w:pPr>
              <w:spacing w:line="520" w:lineRule="exact"/>
              <w:rPr>
                <w:rFonts w:hint="eastAsia" w:ascii="宋体" w:hAnsi="宋体" w:cs="宋体"/>
                <w:bCs/>
                <w:sz w:val="21"/>
                <w:szCs w:val="21"/>
              </w:rPr>
            </w:pPr>
            <w:r>
              <w:rPr>
                <w:rFonts w:hint="eastAsia" w:ascii="宋体" w:hAnsi="宋体" w:cs="宋体"/>
                <w:bCs/>
                <w:sz w:val="21"/>
                <w:szCs w:val="21"/>
              </w:rPr>
              <w:t>5.2.参保人员</w:t>
            </w:r>
          </w:p>
          <w:p w14:paraId="6060606E">
            <w:pPr>
              <w:spacing w:line="520" w:lineRule="exact"/>
              <w:rPr>
                <w:rFonts w:hint="eastAsia" w:ascii="宋体" w:hAnsi="宋体" w:cs="宋体"/>
                <w:bCs/>
                <w:sz w:val="21"/>
                <w:szCs w:val="21"/>
              </w:rPr>
            </w:pPr>
            <w:r>
              <w:rPr>
                <w:rFonts w:hint="eastAsia" w:ascii="宋体" w:hAnsi="宋体" w:cs="宋体"/>
                <w:bCs/>
                <w:sz w:val="21"/>
                <w:szCs w:val="21"/>
              </w:rPr>
              <w:t>建立全校参保人员信息库，可查询和统计教职工参保情况，包括参保险种、基数、缴费方式等信息。</w:t>
            </w:r>
          </w:p>
          <w:p w14:paraId="6C603652">
            <w:pPr>
              <w:spacing w:line="520" w:lineRule="exact"/>
              <w:rPr>
                <w:rFonts w:hint="eastAsia" w:ascii="宋体" w:hAnsi="宋体" w:cs="宋体"/>
                <w:bCs/>
                <w:sz w:val="21"/>
                <w:szCs w:val="21"/>
              </w:rPr>
            </w:pPr>
            <w:r>
              <w:rPr>
                <w:rFonts w:hint="eastAsia" w:ascii="宋体" w:hAnsi="宋体" w:cs="宋体"/>
                <w:bCs/>
                <w:sz w:val="21"/>
                <w:szCs w:val="21"/>
              </w:rPr>
              <w:t>5.3.缴费管理</w:t>
            </w:r>
          </w:p>
          <w:p w14:paraId="4210EA3D">
            <w:pPr>
              <w:spacing w:line="520" w:lineRule="exact"/>
              <w:rPr>
                <w:rFonts w:hint="eastAsia" w:ascii="宋体" w:hAnsi="宋体" w:cs="宋体"/>
                <w:bCs/>
                <w:sz w:val="21"/>
                <w:szCs w:val="21"/>
              </w:rPr>
            </w:pPr>
            <w:r>
              <w:rPr>
                <w:rFonts w:hint="eastAsia" w:ascii="宋体" w:hAnsi="宋体" w:cs="宋体"/>
                <w:bCs/>
                <w:sz w:val="21"/>
                <w:szCs w:val="21"/>
              </w:rPr>
              <w:t>支持按月生成社保缴费数据，包括每个人的缴费基数、缴费方式、各险种的单位缴费数和个人缴费数，以及单位缴费数合计和个人缴费数合计；缴费数据可导出Excel。</w:t>
            </w:r>
          </w:p>
          <w:p w14:paraId="1DF70925">
            <w:pPr>
              <w:spacing w:line="520" w:lineRule="exact"/>
              <w:rPr>
                <w:rFonts w:hint="eastAsia" w:ascii="宋体" w:hAnsi="宋体" w:cs="宋体"/>
                <w:bCs/>
                <w:sz w:val="21"/>
                <w:szCs w:val="21"/>
              </w:rPr>
            </w:pPr>
            <w:r>
              <w:rPr>
                <w:rFonts w:hint="eastAsia" w:ascii="宋体" w:hAnsi="宋体" w:cs="宋体"/>
                <w:bCs/>
                <w:sz w:val="21"/>
                <w:szCs w:val="21"/>
              </w:rPr>
              <w:t>5.4.社保设置</w:t>
            </w:r>
          </w:p>
          <w:p w14:paraId="292681E5">
            <w:pPr>
              <w:spacing w:line="520" w:lineRule="exact"/>
              <w:rPr>
                <w:rFonts w:hint="eastAsia" w:ascii="宋体" w:hAnsi="宋体" w:cs="宋体"/>
                <w:bCs/>
                <w:sz w:val="21"/>
                <w:szCs w:val="21"/>
              </w:rPr>
            </w:pPr>
            <w:r>
              <w:rPr>
                <w:rFonts w:hint="eastAsia" w:ascii="宋体" w:hAnsi="宋体" w:cs="宋体"/>
                <w:bCs/>
                <w:sz w:val="21"/>
                <w:szCs w:val="21"/>
              </w:rPr>
              <w:t>支持社保基本信息设置，设置月平均工资以及社保基数计算公式。可根据人员类别灵活设置社保险种，包括险种的基数上限、基数下限、单位缴费比率、个人缴费比率等。</w:t>
            </w:r>
          </w:p>
          <w:p w14:paraId="45520389">
            <w:pPr>
              <w:spacing w:line="520" w:lineRule="exact"/>
              <w:rPr>
                <w:rFonts w:hint="eastAsia" w:ascii="宋体" w:hAnsi="宋体" w:cs="宋体"/>
                <w:bCs/>
                <w:sz w:val="21"/>
                <w:szCs w:val="21"/>
              </w:rPr>
            </w:pPr>
            <w:r>
              <w:rPr>
                <w:rFonts w:hint="eastAsia" w:ascii="宋体" w:hAnsi="宋体" w:cs="宋体"/>
                <w:bCs/>
                <w:sz w:val="21"/>
                <w:szCs w:val="21"/>
              </w:rPr>
              <w:t>6.公积金管理</w:t>
            </w:r>
          </w:p>
          <w:p w14:paraId="765E7456">
            <w:pPr>
              <w:spacing w:line="520" w:lineRule="exact"/>
              <w:rPr>
                <w:rFonts w:hint="eastAsia" w:ascii="宋体" w:hAnsi="宋体" w:cs="宋体"/>
                <w:bCs/>
                <w:sz w:val="21"/>
                <w:szCs w:val="21"/>
              </w:rPr>
            </w:pPr>
            <w:r>
              <w:rPr>
                <w:rFonts w:hint="eastAsia" w:ascii="宋体" w:hAnsi="宋体" w:cs="宋体"/>
                <w:bCs/>
                <w:sz w:val="21"/>
                <w:szCs w:val="21"/>
              </w:rPr>
              <w:t>公积金即住房公积金，系统支持按不同人员类别设置公积金缴费基数；支持按月生成公积金缴费数据。</w:t>
            </w:r>
          </w:p>
          <w:p w14:paraId="20A1F1B8">
            <w:pPr>
              <w:spacing w:line="520" w:lineRule="exact"/>
              <w:rPr>
                <w:rFonts w:hint="eastAsia" w:ascii="宋体" w:hAnsi="宋体" w:cs="宋体"/>
                <w:bCs/>
                <w:sz w:val="21"/>
                <w:szCs w:val="21"/>
              </w:rPr>
            </w:pPr>
            <w:r>
              <w:rPr>
                <w:rFonts w:hint="eastAsia" w:ascii="宋体" w:hAnsi="宋体" w:cs="宋体"/>
                <w:bCs/>
                <w:sz w:val="21"/>
                <w:szCs w:val="21"/>
              </w:rPr>
              <w:t>6.1.增员管理</w:t>
            </w:r>
          </w:p>
          <w:p w14:paraId="7FC2D7A9">
            <w:pPr>
              <w:spacing w:line="520" w:lineRule="exact"/>
              <w:rPr>
                <w:rFonts w:hint="eastAsia" w:ascii="宋体" w:hAnsi="宋体" w:cs="宋体"/>
                <w:bCs/>
                <w:sz w:val="21"/>
                <w:szCs w:val="21"/>
              </w:rPr>
            </w:pPr>
            <w:r>
              <w:rPr>
                <w:rFonts w:hint="eastAsia" w:ascii="宋体" w:hAnsi="宋体" w:cs="宋体"/>
                <w:bCs/>
                <w:sz w:val="21"/>
                <w:szCs w:val="21"/>
              </w:rPr>
              <w:t>根据入职信息，自动生成待增人员。增员登记时，开始公积金的缴纳，缴费基数、公积金编号等按规则自动生成。</w:t>
            </w:r>
          </w:p>
          <w:p w14:paraId="70D87AF5">
            <w:pPr>
              <w:spacing w:line="520" w:lineRule="exact"/>
              <w:rPr>
                <w:rFonts w:hint="eastAsia" w:ascii="宋体" w:hAnsi="宋体" w:cs="宋体"/>
                <w:bCs/>
                <w:sz w:val="21"/>
                <w:szCs w:val="21"/>
              </w:rPr>
            </w:pPr>
            <w:r>
              <w:rPr>
                <w:rFonts w:hint="eastAsia" w:ascii="宋体" w:hAnsi="宋体" w:cs="宋体"/>
                <w:bCs/>
                <w:sz w:val="21"/>
                <w:szCs w:val="21"/>
              </w:rPr>
              <w:t>6.2.减员管理</w:t>
            </w:r>
          </w:p>
          <w:p w14:paraId="3BF1FFEA">
            <w:pPr>
              <w:spacing w:line="520" w:lineRule="exact"/>
              <w:rPr>
                <w:rFonts w:hint="eastAsia" w:ascii="宋体" w:hAnsi="宋体" w:cs="宋体"/>
                <w:bCs/>
                <w:sz w:val="21"/>
                <w:szCs w:val="21"/>
              </w:rPr>
            </w:pPr>
            <w:r>
              <w:rPr>
                <w:rFonts w:hint="eastAsia" w:ascii="宋体" w:hAnsi="宋体" w:cs="宋体"/>
                <w:bCs/>
                <w:sz w:val="21"/>
                <w:szCs w:val="21"/>
              </w:rPr>
              <w:t>根据离校、去世等信息，自动生成待减人员，减员登记时，停缴公积金。</w:t>
            </w:r>
          </w:p>
          <w:p w14:paraId="4DF39809">
            <w:pPr>
              <w:spacing w:line="520" w:lineRule="exact"/>
              <w:rPr>
                <w:rFonts w:hint="eastAsia" w:ascii="宋体" w:hAnsi="宋体" w:cs="宋体"/>
                <w:bCs/>
                <w:sz w:val="21"/>
                <w:szCs w:val="21"/>
              </w:rPr>
            </w:pPr>
            <w:r>
              <w:rPr>
                <w:rFonts w:hint="eastAsia" w:ascii="宋体" w:hAnsi="宋体" w:cs="宋体"/>
                <w:bCs/>
                <w:sz w:val="21"/>
                <w:szCs w:val="21"/>
              </w:rPr>
              <w:t>6.3.缴费管理</w:t>
            </w:r>
          </w:p>
          <w:p w14:paraId="151C7DEB">
            <w:pPr>
              <w:spacing w:line="520" w:lineRule="exact"/>
              <w:rPr>
                <w:rFonts w:hint="eastAsia" w:ascii="宋体" w:hAnsi="宋体" w:cs="宋体"/>
                <w:bCs/>
                <w:sz w:val="21"/>
                <w:szCs w:val="21"/>
              </w:rPr>
            </w:pPr>
            <w:r>
              <w:rPr>
                <w:rFonts w:hint="eastAsia" w:ascii="宋体" w:hAnsi="宋体" w:cs="宋体"/>
                <w:bCs/>
                <w:sz w:val="21"/>
                <w:szCs w:val="21"/>
              </w:rPr>
              <w:t>支持按月生成公积金缴费数据，包括每个人的缴费基数、缴费方式、单位缴费金额、个人缴费金额、缴费金额合计等。缴费数据可以灵活导出Excel。</w:t>
            </w:r>
          </w:p>
          <w:p w14:paraId="01176263">
            <w:pPr>
              <w:spacing w:line="520" w:lineRule="exact"/>
              <w:rPr>
                <w:rFonts w:hint="eastAsia" w:ascii="宋体" w:hAnsi="宋体" w:cs="宋体"/>
                <w:bCs/>
                <w:sz w:val="21"/>
                <w:szCs w:val="21"/>
              </w:rPr>
            </w:pPr>
            <w:r>
              <w:rPr>
                <w:rFonts w:hint="eastAsia" w:ascii="宋体" w:hAnsi="宋体" w:cs="宋体"/>
                <w:bCs/>
                <w:sz w:val="21"/>
                <w:szCs w:val="21"/>
              </w:rPr>
              <w:t>6.4.规则设置</w:t>
            </w:r>
          </w:p>
          <w:p w14:paraId="79262469">
            <w:pPr>
              <w:spacing w:line="520" w:lineRule="exact"/>
              <w:rPr>
                <w:rFonts w:hint="eastAsia" w:ascii="宋体" w:hAnsi="宋体" w:cs="宋体"/>
                <w:bCs/>
                <w:sz w:val="21"/>
                <w:szCs w:val="21"/>
              </w:rPr>
            </w:pPr>
            <w:r>
              <w:rPr>
                <w:rFonts w:hint="eastAsia" w:ascii="宋体" w:hAnsi="宋体" w:cs="宋体"/>
                <w:bCs/>
                <w:sz w:val="21"/>
                <w:szCs w:val="21"/>
              </w:rPr>
              <w:t>根据人员类别等信息为不同人员分别设置公积金的缴费基数规则，可灵活选择工资项作为缴费基数来源，并可设置计算公式。可统一设置公积金上限、下限、变更日期、单位缴费比率、个人缴费比率等。</w:t>
            </w:r>
          </w:p>
          <w:p w14:paraId="474FD60B">
            <w:pPr>
              <w:spacing w:line="520" w:lineRule="exact"/>
              <w:rPr>
                <w:rFonts w:hint="eastAsia" w:ascii="宋体" w:hAnsi="宋体" w:cs="宋体"/>
                <w:bCs/>
                <w:sz w:val="21"/>
                <w:szCs w:val="21"/>
              </w:rPr>
            </w:pPr>
            <w:r>
              <w:rPr>
                <w:rFonts w:hint="eastAsia" w:ascii="宋体" w:hAnsi="宋体" w:cs="宋体"/>
                <w:bCs/>
                <w:sz w:val="21"/>
                <w:szCs w:val="21"/>
              </w:rPr>
              <w:t>7.职称评审</w:t>
            </w:r>
          </w:p>
          <w:p w14:paraId="5CD339CA">
            <w:pPr>
              <w:spacing w:line="520" w:lineRule="exact"/>
              <w:rPr>
                <w:rFonts w:hint="eastAsia" w:ascii="宋体" w:hAnsi="宋体" w:cs="宋体"/>
                <w:bCs/>
                <w:sz w:val="21"/>
                <w:szCs w:val="21"/>
              </w:rPr>
            </w:pPr>
            <w:r>
              <w:rPr>
                <w:rFonts w:hint="eastAsia" w:ascii="宋体" w:hAnsi="宋体" w:cs="宋体"/>
                <w:bCs/>
                <w:sz w:val="21"/>
                <w:szCs w:val="21"/>
              </w:rPr>
              <w:t>职称是专业技术人才学术技术水平和专业能力的主要标志，职称制度是专业技术人才评价和管理的基本制度，对于高校凝聚专业技术人才，激励专业技术人才职业发展，加强专业技术人才队伍建设具有重要的意义。通过系统可以实现网络化流程化的职称评审业务管理，提升效率，保证公平。</w:t>
            </w:r>
          </w:p>
          <w:p w14:paraId="2E5CD366">
            <w:pPr>
              <w:spacing w:line="520" w:lineRule="exact"/>
              <w:rPr>
                <w:rFonts w:hint="eastAsia" w:ascii="宋体" w:hAnsi="宋体" w:cs="宋体"/>
                <w:bCs/>
                <w:sz w:val="21"/>
                <w:szCs w:val="21"/>
              </w:rPr>
            </w:pPr>
            <w:r>
              <w:rPr>
                <w:rFonts w:hint="eastAsia" w:ascii="宋体" w:hAnsi="宋体" w:cs="宋体"/>
                <w:bCs/>
                <w:sz w:val="21"/>
                <w:szCs w:val="21"/>
              </w:rPr>
              <w:t>7.1.评审项目</w:t>
            </w:r>
          </w:p>
          <w:p w14:paraId="3A26C1CD">
            <w:pPr>
              <w:spacing w:line="520" w:lineRule="exact"/>
              <w:rPr>
                <w:rFonts w:hint="eastAsia" w:ascii="宋体" w:hAnsi="宋体" w:cs="宋体"/>
                <w:bCs/>
                <w:sz w:val="21"/>
                <w:szCs w:val="21"/>
              </w:rPr>
            </w:pPr>
            <w:r>
              <w:rPr>
                <w:rFonts w:hint="eastAsia" w:ascii="宋体" w:hAnsi="宋体" w:cs="宋体"/>
                <w:bCs/>
                <w:sz w:val="21"/>
                <w:szCs w:val="21"/>
              </w:rPr>
              <w:t>支持按项目启动不同系列的职称评审工作，支持设置职称项目组，每个组下可有多个职称项目；支持数字看板，可以实时查看各系列评审节点评审状态，并支持数据穿透；支持申报条件/范围设置，支持设置不同类别教职工允许申报的系列/职称范围、条件；教职工个人在申报职称时可一键更新已有的基本信息、业绩信息等，业绩信息支持手动填写和自动同步数据中心的数据，系统会自动标识数据来源，个人可自查是否满足申报条件。</w:t>
            </w:r>
          </w:p>
          <w:p w14:paraId="7BE5B5D4">
            <w:pPr>
              <w:spacing w:line="520" w:lineRule="exact"/>
              <w:rPr>
                <w:rFonts w:hint="eastAsia" w:ascii="宋体" w:hAnsi="宋体" w:cs="宋体"/>
                <w:bCs/>
                <w:sz w:val="21"/>
                <w:szCs w:val="21"/>
              </w:rPr>
            </w:pPr>
            <w:r>
              <w:rPr>
                <w:rFonts w:hint="eastAsia" w:ascii="宋体" w:hAnsi="宋体" w:cs="宋体"/>
                <w:bCs/>
                <w:sz w:val="21"/>
                <w:szCs w:val="21"/>
              </w:rPr>
              <w:t>①建立评审项目：创建职称评审项目，确认评审系列，设置年度、起始时间，可以绑定职称评审项目组。</w:t>
            </w:r>
          </w:p>
          <w:p w14:paraId="367D767C">
            <w:pPr>
              <w:spacing w:line="520" w:lineRule="exact"/>
              <w:rPr>
                <w:rFonts w:hint="eastAsia" w:ascii="宋体" w:hAnsi="宋体" w:cs="宋体"/>
                <w:bCs/>
                <w:sz w:val="21"/>
                <w:szCs w:val="21"/>
              </w:rPr>
            </w:pPr>
            <w:r>
              <w:rPr>
                <w:rFonts w:hint="eastAsia" w:ascii="宋体" w:hAnsi="宋体" w:cs="宋体"/>
                <w:bCs/>
                <w:sz w:val="21"/>
                <w:szCs w:val="21"/>
              </w:rPr>
              <w:t>②申报须知设置：支持设置申报须知内容，并支持附件上传，申报人在申报时即可签订相关承诺书。</w:t>
            </w:r>
          </w:p>
          <w:p w14:paraId="06373F41">
            <w:pPr>
              <w:spacing w:line="520" w:lineRule="exact"/>
              <w:rPr>
                <w:rFonts w:hint="eastAsia" w:ascii="宋体" w:hAnsi="宋体" w:cs="宋体"/>
                <w:bCs/>
                <w:sz w:val="21"/>
                <w:szCs w:val="21"/>
              </w:rPr>
            </w:pPr>
            <w:r>
              <w:rPr>
                <w:rFonts w:hint="eastAsia" w:ascii="宋体" w:hAnsi="宋体" w:cs="宋体"/>
                <w:bCs/>
                <w:sz w:val="21"/>
                <w:szCs w:val="21"/>
              </w:rPr>
              <w:t>③评审申报范围/条件设置：支持设置不同职称系列不同职称范围的申报条件，系统自动筛选符合申请申报条件的人员。比如现聘任职务时间、论文/项目数、奖项数等。</w:t>
            </w:r>
          </w:p>
          <w:p w14:paraId="108249AD">
            <w:pPr>
              <w:spacing w:line="520" w:lineRule="exact"/>
              <w:rPr>
                <w:rFonts w:hint="eastAsia" w:ascii="宋体" w:hAnsi="宋体" w:cs="宋体"/>
                <w:bCs/>
                <w:sz w:val="21"/>
                <w:szCs w:val="21"/>
              </w:rPr>
            </w:pPr>
            <w:r>
              <w:rPr>
                <w:rFonts w:hint="eastAsia" w:ascii="宋体" w:hAnsi="宋体" w:cs="宋体"/>
                <w:bCs/>
                <w:sz w:val="21"/>
                <w:szCs w:val="21"/>
              </w:rPr>
              <w:t>7.2.评审申报</w:t>
            </w:r>
          </w:p>
          <w:p w14:paraId="71513A00">
            <w:pPr>
              <w:spacing w:line="520" w:lineRule="exact"/>
              <w:rPr>
                <w:rFonts w:hint="eastAsia" w:ascii="宋体" w:hAnsi="宋体" w:cs="宋体"/>
                <w:bCs/>
                <w:sz w:val="21"/>
                <w:szCs w:val="21"/>
              </w:rPr>
            </w:pPr>
            <w:r>
              <w:rPr>
                <w:rFonts w:hint="eastAsia" w:ascii="宋体" w:hAnsi="宋体" w:cs="宋体"/>
                <w:bCs/>
                <w:sz w:val="21"/>
                <w:szCs w:val="21"/>
              </w:rPr>
              <w:t>教职工在线申报职称，填写职称申报表，并在线提交和打印申报表。</w:t>
            </w:r>
          </w:p>
          <w:p w14:paraId="542B0F21">
            <w:pPr>
              <w:spacing w:line="520" w:lineRule="exact"/>
              <w:rPr>
                <w:rFonts w:hint="eastAsia" w:ascii="宋体" w:hAnsi="宋体" w:cs="宋体"/>
                <w:bCs/>
                <w:sz w:val="21"/>
                <w:szCs w:val="21"/>
              </w:rPr>
            </w:pPr>
            <w:r>
              <w:rPr>
                <w:rFonts w:hint="eastAsia" w:ascii="宋体" w:hAnsi="宋体" w:cs="宋体"/>
                <w:bCs/>
                <w:sz w:val="21"/>
                <w:szCs w:val="21"/>
              </w:rPr>
              <w:t>①自动获取数据：系统支持对接公共数据中心，个人申报时教学、科研等业绩数据可自动获取，也可手动获取。当各个业务系统数据有变更时，个人可以重获数据。同步过来的数据不能在系统中修改，若需要修改，需回到数据源头进行修改，系统再将修改后的数据同步过来。</w:t>
            </w:r>
          </w:p>
          <w:p w14:paraId="12F04C05">
            <w:pPr>
              <w:spacing w:line="520" w:lineRule="exact"/>
              <w:rPr>
                <w:rFonts w:hint="eastAsia" w:ascii="宋体" w:hAnsi="宋体" w:cs="宋体"/>
                <w:bCs/>
                <w:sz w:val="21"/>
                <w:szCs w:val="21"/>
              </w:rPr>
            </w:pPr>
            <w:r>
              <w:rPr>
                <w:rFonts w:hint="eastAsia" w:ascii="宋体" w:hAnsi="宋体" w:cs="宋体"/>
                <w:bCs/>
                <w:sz w:val="21"/>
                <w:szCs w:val="21"/>
              </w:rPr>
              <w:t>②手动填报：除了系统自动获取数据，也支持手动填报基本信息+业绩子集数据，手动填报的数据可以在系统中修改。</w:t>
            </w:r>
          </w:p>
          <w:p w14:paraId="27A105EE">
            <w:pPr>
              <w:spacing w:line="520" w:lineRule="exact"/>
              <w:rPr>
                <w:rFonts w:hint="eastAsia" w:ascii="宋体" w:hAnsi="宋体" w:cs="宋体"/>
                <w:bCs/>
                <w:sz w:val="21"/>
                <w:szCs w:val="21"/>
              </w:rPr>
            </w:pPr>
            <w:r>
              <w:rPr>
                <w:rFonts w:hint="eastAsia" w:ascii="宋体" w:hAnsi="宋体" w:cs="宋体"/>
                <w:bCs/>
                <w:sz w:val="21"/>
                <w:szCs w:val="21"/>
              </w:rPr>
              <w:t>③提交材料及打印：教职工可以查看个人申报材料信息以及自动生成及打印个人申报表。</w:t>
            </w:r>
          </w:p>
          <w:p w14:paraId="676D3215">
            <w:pPr>
              <w:spacing w:line="520" w:lineRule="exact"/>
              <w:rPr>
                <w:rFonts w:hint="eastAsia" w:ascii="宋体" w:hAnsi="宋体" w:cs="宋体"/>
                <w:bCs/>
                <w:sz w:val="21"/>
                <w:szCs w:val="21"/>
              </w:rPr>
            </w:pPr>
            <w:r>
              <w:rPr>
                <w:rFonts w:hint="eastAsia" w:ascii="宋体" w:hAnsi="宋体" w:cs="宋体"/>
                <w:bCs/>
                <w:sz w:val="21"/>
                <w:szCs w:val="21"/>
              </w:rPr>
              <w:t>④申报进度查询：可以实时查询本人的申报进度，支持以可视化的流程图展示申报进度。</w:t>
            </w:r>
          </w:p>
          <w:p w14:paraId="6327396D">
            <w:pPr>
              <w:spacing w:line="520" w:lineRule="exact"/>
              <w:rPr>
                <w:rFonts w:hint="eastAsia" w:ascii="宋体" w:hAnsi="宋体" w:cs="宋体"/>
                <w:bCs/>
                <w:sz w:val="21"/>
                <w:szCs w:val="21"/>
              </w:rPr>
            </w:pPr>
            <w:r>
              <w:rPr>
                <w:rFonts w:hint="eastAsia" w:ascii="宋体" w:hAnsi="宋体" w:cs="宋体"/>
                <w:bCs/>
                <w:sz w:val="21"/>
                <w:szCs w:val="21"/>
              </w:rPr>
              <w:t>7.3.资格初审</w:t>
            </w:r>
          </w:p>
          <w:p w14:paraId="72D2F6B7">
            <w:pPr>
              <w:spacing w:line="520" w:lineRule="exact"/>
              <w:rPr>
                <w:rFonts w:hint="eastAsia" w:ascii="宋体" w:hAnsi="宋体" w:cs="宋体"/>
                <w:bCs/>
                <w:sz w:val="21"/>
                <w:szCs w:val="21"/>
              </w:rPr>
            </w:pPr>
            <w:r>
              <w:rPr>
                <w:rFonts w:hint="eastAsia" w:ascii="宋体" w:hAnsi="宋体" w:cs="宋体"/>
                <w:bCs/>
                <w:sz w:val="21"/>
                <w:szCs w:val="21"/>
              </w:rPr>
              <w:t>教职工提交申报后，二级单位进行资格与材料审查，材料审核时可以单个材料审核，也可以批量审核，不符合要求的材料可以退回修改。审核通过后可以在线填写推荐意见。二级单位可以预览、下载及打印申报表、一览表。</w:t>
            </w:r>
          </w:p>
          <w:p w14:paraId="224FCECE">
            <w:pPr>
              <w:spacing w:line="520" w:lineRule="exact"/>
              <w:rPr>
                <w:rFonts w:hint="eastAsia" w:ascii="宋体" w:hAnsi="宋体" w:cs="宋体"/>
                <w:bCs/>
                <w:sz w:val="21"/>
                <w:szCs w:val="21"/>
              </w:rPr>
            </w:pPr>
            <w:r>
              <w:rPr>
                <w:rFonts w:hint="eastAsia" w:ascii="宋体" w:hAnsi="宋体" w:cs="宋体"/>
                <w:bCs/>
                <w:sz w:val="21"/>
                <w:szCs w:val="21"/>
              </w:rPr>
              <w:t>7.4.材料审查</w:t>
            </w:r>
          </w:p>
          <w:p w14:paraId="6ABD8648">
            <w:pPr>
              <w:spacing w:line="520" w:lineRule="exact"/>
              <w:rPr>
                <w:rFonts w:hint="eastAsia" w:ascii="宋体" w:hAnsi="宋体" w:cs="宋体"/>
                <w:bCs/>
                <w:sz w:val="21"/>
                <w:szCs w:val="21"/>
              </w:rPr>
            </w:pPr>
            <w:r>
              <w:rPr>
                <w:rFonts w:hint="eastAsia" w:ascii="宋体" w:hAnsi="宋体" w:cs="宋体"/>
                <w:bCs/>
                <w:sz w:val="21"/>
                <w:szCs w:val="21"/>
              </w:rPr>
              <w:t>职能部门可对申报材料的相关内容分别审核认定。通过系统可灵活设置参与的职能部门，以及职能部门的材料审核权限。材料审核时，各职能部门可同时进行，可将不符合要求的材料退回修改，可整体退回，也可单指定某条记录退回。各职能部门全部审核通过后，材料审核环节才算完成。</w:t>
            </w:r>
          </w:p>
          <w:p w14:paraId="03D56302">
            <w:pPr>
              <w:spacing w:line="520" w:lineRule="exact"/>
              <w:rPr>
                <w:rFonts w:hint="eastAsia" w:ascii="宋体" w:hAnsi="宋体" w:cs="宋体"/>
                <w:bCs/>
                <w:sz w:val="21"/>
                <w:szCs w:val="21"/>
              </w:rPr>
            </w:pPr>
            <w:r>
              <w:rPr>
                <w:rFonts w:hint="eastAsia" w:ascii="宋体" w:hAnsi="宋体" w:cs="宋体"/>
                <w:bCs/>
                <w:sz w:val="21"/>
                <w:szCs w:val="21"/>
              </w:rPr>
              <w:t>7.5.资格终审</w:t>
            </w:r>
          </w:p>
          <w:p w14:paraId="2C43F7F4">
            <w:pPr>
              <w:spacing w:line="520" w:lineRule="exact"/>
              <w:rPr>
                <w:rFonts w:hint="eastAsia" w:ascii="宋体" w:hAnsi="宋体" w:cs="宋体"/>
                <w:bCs/>
                <w:sz w:val="21"/>
                <w:szCs w:val="21"/>
              </w:rPr>
            </w:pPr>
            <w:r>
              <w:rPr>
                <w:rFonts w:hint="eastAsia" w:ascii="宋体" w:hAnsi="宋体" w:cs="宋体"/>
                <w:bCs/>
                <w:sz w:val="21"/>
                <w:szCs w:val="21"/>
              </w:rPr>
              <w:t>材料审核通过后，组织人事部进行最终资格审核，审核确认符合评审资格条件的教职工。</w:t>
            </w:r>
          </w:p>
          <w:p w14:paraId="468C1645">
            <w:pPr>
              <w:spacing w:line="520" w:lineRule="exact"/>
              <w:rPr>
                <w:rFonts w:hint="eastAsia" w:ascii="宋体" w:hAnsi="宋体" w:cs="宋体"/>
                <w:bCs/>
                <w:sz w:val="21"/>
                <w:szCs w:val="21"/>
              </w:rPr>
            </w:pPr>
            <w:r>
              <w:rPr>
                <w:rFonts w:hint="eastAsia" w:ascii="宋体" w:hAnsi="宋体" w:cs="宋体"/>
                <w:bCs/>
                <w:sz w:val="21"/>
                <w:szCs w:val="21"/>
              </w:rPr>
              <w:t>7.6.评审委员会评议</w:t>
            </w:r>
          </w:p>
          <w:p w14:paraId="073F2B9D">
            <w:pPr>
              <w:spacing w:line="520" w:lineRule="exact"/>
              <w:rPr>
                <w:rFonts w:hint="eastAsia" w:ascii="宋体" w:hAnsi="宋体" w:cs="宋体"/>
                <w:bCs/>
                <w:sz w:val="21"/>
                <w:szCs w:val="21"/>
              </w:rPr>
            </w:pPr>
            <w:r>
              <w:rPr>
                <w:rFonts w:hint="eastAsia" w:ascii="宋体" w:hAnsi="宋体" w:cs="宋体"/>
                <w:bCs/>
                <w:sz w:val="21"/>
                <w:szCs w:val="21"/>
              </w:rPr>
              <w:t>支持对学科组评议和高评委评议投票表决结果信息登记，支持批量维护评议结果；也支持与投票系统的对接，实现在线无纸化投票（具体功能参见《投票管理》）。</w:t>
            </w:r>
          </w:p>
          <w:p w14:paraId="1D78D1A5">
            <w:pPr>
              <w:spacing w:line="520" w:lineRule="exact"/>
              <w:rPr>
                <w:rFonts w:hint="eastAsia" w:ascii="宋体" w:hAnsi="宋体" w:cs="宋体"/>
                <w:bCs/>
                <w:sz w:val="21"/>
                <w:szCs w:val="21"/>
              </w:rPr>
            </w:pPr>
            <w:r>
              <w:rPr>
                <w:rFonts w:hint="eastAsia" w:ascii="宋体" w:hAnsi="宋体" w:cs="宋体"/>
                <w:bCs/>
                <w:sz w:val="21"/>
                <w:szCs w:val="21"/>
              </w:rPr>
              <w:t>7.7公示管理</w:t>
            </w:r>
          </w:p>
          <w:p w14:paraId="3F0F75D7">
            <w:pPr>
              <w:spacing w:line="520" w:lineRule="exact"/>
              <w:rPr>
                <w:rFonts w:hint="eastAsia" w:ascii="宋体" w:hAnsi="宋体" w:cs="宋体"/>
                <w:bCs/>
                <w:sz w:val="21"/>
                <w:szCs w:val="21"/>
              </w:rPr>
            </w:pPr>
            <w:r>
              <w:rPr>
                <w:rFonts w:hint="eastAsia" w:ascii="宋体" w:hAnsi="宋体" w:cs="宋体"/>
                <w:bCs/>
                <w:sz w:val="21"/>
                <w:szCs w:val="21"/>
              </w:rPr>
              <w:t>可对评审结果进行公示，可灵活设置公示方案，包括公示时间、公示人员范围、公示内容等；可查看公示人员的公示材料（一览表、申报表）。</w:t>
            </w:r>
          </w:p>
          <w:p w14:paraId="4F289D36">
            <w:pPr>
              <w:spacing w:line="520" w:lineRule="exact"/>
              <w:rPr>
                <w:rFonts w:hint="eastAsia" w:ascii="宋体" w:hAnsi="宋体" w:cs="宋体"/>
                <w:bCs/>
                <w:sz w:val="21"/>
                <w:szCs w:val="21"/>
              </w:rPr>
            </w:pPr>
            <w:r>
              <w:rPr>
                <w:rFonts w:hint="eastAsia" w:ascii="宋体" w:hAnsi="宋体" w:cs="宋体"/>
                <w:bCs/>
                <w:sz w:val="21"/>
                <w:szCs w:val="21"/>
              </w:rPr>
              <w:t>7.8.评审结果管理</w:t>
            </w:r>
          </w:p>
          <w:p w14:paraId="6423EDDE">
            <w:pPr>
              <w:spacing w:line="520" w:lineRule="exact"/>
              <w:rPr>
                <w:rFonts w:hint="eastAsia" w:ascii="宋体" w:hAnsi="宋体" w:cs="宋体"/>
                <w:bCs/>
                <w:sz w:val="21"/>
                <w:szCs w:val="21"/>
              </w:rPr>
            </w:pPr>
            <w:r>
              <w:rPr>
                <w:rFonts w:hint="eastAsia" w:ascii="宋体" w:hAnsi="宋体" w:cs="宋体"/>
                <w:bCs/>
                <w:sz w:val="21"/>
                <w:szCs w:val="21"/>
              </w:rPr>
              <w:t>支持职称评审结果的查询；职务调整的结果可自动更新到教职工信息库。</w:t>
            </w:r>
          </w:p>
          <w:p w14:paraId="516941E7">
            <w:pPr>
              <w:spacing w:line="520" w:lineRule="exact"/>
              <w:rPr>
                <w:rFonts w:hint="eastAsia" w:ascii="宋体" w:hAnsi="宋体" w:cs="宋体"/>
                <w:bCs/>
                <w:sz w:val="21"/>
                <w:szCs w:val="21"/>
              </w:rPr>
            </w:pPr>
            <w:r>
              <w:rPr>
                <w:rFonts w:hint="eastAsia" w:ascii="宋体" w:hAnsi="宋体" w:cs="宋体"/>
                <w:bCs/>
                <w:sz w:val="21"/>
                <w:szCs w:val="21"/>
              </w:rPr>
              <w:t>7.9.评审数据分析</w:t>
            </w:r>
          </w:p>
          <w:p w14:paraId="4E12161B">
            <w:pPr>
              <w:spacing w:line="520" w:lineRule="exact"/>
              <w:rPr>
                <w:rFonts w:hint="eastAsia" w:ascii="宋体" w:hAnsi="宋体" w:cs="宋体"/>
                <w:bCs/>
                <w:sz w:val="21"/>
                <w:szCs w:val="21"/>
              </w:rPr>
            </w:pPr>
            <w:r>
              <w:rPr>
                <w:rFonts w:hint="eastAsia" w:ascii="宋体" w:hAnsi="宋体" w:cs="宋体"/>
                <w:bCs/>
                <w:sz w:val="21"/>
                <w:szCs w:val="21"/>
              </w:rPr>
              <w:t>支持对职称评审结果进行多维度统计与分析，比如流程监控分析、各职称申报统计分析等。</w:t>
            </w:r>
          </w:p>
          <w:p w14:paraId="26E6E5D3">
            <w:pPr>
              <w:spacing w:line="520" w:lineRule="exact"/>
              <w:rPr>
                <w:rFonts w:hint="eastAsia" w:ascii="宋体" w:hAnsi="宋体" w:cs="宋体"/>
                <w:bCs/>
                <w:sz w:val="21"/>
                <w:szCs w:val="21"/>
              </w:rPr>
            </w:pPr>
            <w:r>
              <w:rPr>
                <w:rFonts w:hint="eastAsia" w:ascii="宋体" w:hAnsi="宋体" w:cs="宋体"/>
                <w:bCs/>
                <w:sz w:val="21"/>
                <w:szCs w:val="21"/>
              </w:rPr>
              <w:t>8.同行专家评议</w:t>
            </w:r>
          </w:p>
          <w:p w14:paraId="030B853B">
            <w:pPr>
              <w:spacing w:line="520" w:lineRule="exact"/>
              <w:rPr>
                <w:rFonts w:hint="eastAsia" w:ascii="宋体" w:hAnsi="宋体" w:cs="宋体"/>
                <w:bCs/>
                <w:sz w:val="21"/>
                <w:szCs w:val="21"/>
              </w:rPr>
            </w:pPr>
            <w:r>
              <w:rPr>
                <w:rFonts w:hint="eastAsia" w:ascii="宋体" w:hAnsi="宋体" w:cs="宋体"/>
                <w:bCs/>
                <w:sz w:val="21"/>
                <w:szCs w:val="21"/>
              </w:rPr>
              <w:t>同行专家评议是为职称评审、人才引进、人才项目申报等业务提供一站式的专家评审支持服务，支持委托专家/协审单位多种送审模式，支持专家评审在线电子签名。</w:t>
            </w:r>
          </w:p>
          <w:p w14:paraId="6C02D709">
            <w:pPr>
              <w:spacing w:line="520" w:lineRule="exact"/>
              <w:rPr>
                <w:rFonts w:hint="eastAsia" w:ascii="宋体" w:hAnsi="宋体" w:cs="宋体"/>
                <w:bCs/>
                <w:sz w:val="21"/>
                <w:szCs w:val="21"/>
              </w:rPr>
            </w:pPr>
            <w:r>
              <w:rPr>
                <w:rFonts w:hint="eastAsia" w:ascii="宋体" w:hAnsi="宋体" w:cs="宋体"/>
                <w:bCs/>
                <w:sz w:val="21"/>
                <w:szCs w:val="21"/>
              </w:rPr>
              <w:t>8.1.评审方案</w:t>
            </w:r>
          </w:p>
          <w:p w14:paraId="440073BA">
            <w:pPr>
              <w:spacing w:line="520" w:lineRule="exact"/>
              <w:rPr>
                <w:rFonts w:hint="eastAsia" w:ascii="宋体" w:hAnsi="宋体" w:cs="宋体"/>
                <w:bCs/>
                <w:sz w:val="21"/>
                <w:szCs w:val="21"/>
              </w:rPr>
            </w:pPr>
            <w:r>
              <w:rPr>
                <w:rFonts w:hint="eastAsia" w:ascii="宋体" w:hAnsi="宋体" w:cs="宋体"/>
                <w:bCs/>
                <w:sz w:val="21"/>
                <w:szCs w:val="21"/>
              </w:rPr>
              <w:t>职称评审、人才引进、人才项目申报等业务中会进行同行评议，系统支持委托专家/协审单位两种送审模式，支持专家评审在线电子签名。可创建评审方案，内置专家评审鉴定意见表，评审结束后支持专家评审鉴定意见表单下载打印。</w:t>
            </w:r>
          </w:p>
          <w:p w14:paraId="60646FEC">
            <w:pPr>
              <w:spacing w:line="520" w:lineRule="exact"/>
              <w:rPr>
                <w:rFonts w:hint="eastAsia" w:ascii="宋体" w:hAnsi="宋体" w:cs="宋体"/>
                <w:bCs/>
                <w:sz w:val="21"/>
                <w:szCs w:val="21"/>
              </w:rPr>
            </w:pPr>
            <w:r>
              <w:rPr>
                <w:rFonts w:hint="eastAsia" w:ascii="宋体" w:hAnsi="宋体" w:cs="宋体"/>
                <w:bCs/>
                <w:sz w:val="21"/>
                <w:szCs w:val="21"/>
              </w:rPr>
              <w:t>8.2.送审批次</w:t>
            </w:r>
          </w:p>
          <w:p w14:paraId="0826AA46">
            <w:pPr>
              <w:spacing w:line="520" w:lineRule="exact"/>
              <w:rPr>
                <w:rFonts w:hint="eastAsia" w:ascii="宋体" w:hAnsi="宋体" w:cs="宋体"/>
                <w:bCs/>
                <w:sz w:val="21"/>
                <w:szCs w:val="21"/>
              </w:rPr>
            </w:pPr>
            <w:r>
              <w:rPr>
                <w:rFonts w:hint="eastAsia" w:ascii="宋体" w:hAnsi="宋体" w:cs="宋体"/>
                <w:bCs/>
                <w:sz w:val="21"/>
                <w:szCs w:val="21"/>
              </w:rPr>
              <w:t>支持创建送审批次，并绑定评审方案，支持设置单份材料分配的专家数，支持盲评；支持上传评审说明。</w:t>
            </w:r>
          </w:p>
          <w:p w14:paraId="4E5EE45E">
            <w:pPr>
              <w:spacing w:line="520" w:lineRule="exact"/>
              <w:rPr>
                <w:rFonts w:hint="eastAsia" w:ascii="宋体" w:hAnsi="宋体" w:cs="宋体"/>
                <w:bCs/>
                <w:sz w:val="21"/>
                <w:szCs w:val="21"/>
              </w:rPr>
            </w:pPr>
            <w:r>
              <w:rPr>
                <w:rFonts w:hint="eastAsia" w:ascii="宋体" w:hAnsi="宋体" w:cs="宋体"/>
                <w:bCs/>
                <w:sz w:val="21"/>
                <w:szCs w:val="21"/>
              </w:rPr>
              <w:t>8.3.新增送审人员</w:t>
            </w:r>
          </w:p>
          <w:p w14:paraId="296BD90B">
            <w:pPr>
              <w:spacing w:line="520" w:lineRule="exact"/>
              <w:rPr>
                <w:rFonts w:hint="eastAsia" w:ascii="宋体" w:hAnsi="宋体" w:cs="宋体"/>
                <w:bCs/>
                <w:sz w:val="21"/>
                <w:szCs w:val="21"/>
              </w:rPr>
            </w:pPr>
            <w:r>
              <w:rPr>
                <w:rFonts w:hint="eastAsia" w:ascii="宋体" w:hAnsi="宋体" w:cs="宋体"/>
                <w:bCs/>
                <w:sz w:val="21"/>
                <w:szCs w:val="21"/>
              </w:rPr>
              <w:t>支持新增送审人员信息，支持通过excel表批量导入送审人员信息。</w:t>
            </w:r>
          </w:p>
          <w:p w14:paraId="29724E3E">
            <w:pPr>
              <w:spacing w:line="520" w:lineRule="exact"/>
              <w:rPr>
                <w:rFonts w:hint="eastAsia" w:ascii="宋体" w:hAnsi="宋体" w:cs="宋体"/>
                <w:bCs/>
                <w:sz w:val="21"/>
                <w:szCs w:val="21"/>
              </w:rPr>
            </w:pPr>
            <w:r>
              <w:rPr>
                <w:rFonts w:hint="eastAsia" w:ascii="宋体" w:hAnsi="宋体" w:cs="宋体"/>
                <w:bCs/>
                <w:sz w:val="21"/>
                <w:szCs w:val="21"/>
              </w:rPr>
              <w:t>8.4.代表作上传</w:t>
            </w:r>
          </w:p>
          <w:p w14:paraId="213072CC">
            <w:pPr>
              <w:spacing w:line="520" w:lineRule="exact"/>
              <w:rPr>
                <w:rFonts w:hint="eastAsia" w:ascii="宋体" w:hAnsi="宋体" w:cs="宋体"/>
                <w:bCs/>
                <w:sz w:val="21"/>
                <w:szCs w:val="21"/>
              </w:rPr>
            </w:pPr>
            <w:r>
              <w:rPr>
                <w:rFonts w:hint="eastAsia" w:ascii="宋体" w:hAnsi="宋体" w:cs="宋体"/>
                <w:bCs/>
                <w:sz w:val="21"/>
                <w:szCs w:val="21"/>
              </w:rPr>
              <w:t>支持批量导入送审人员代表作或给送审人员发送邮件，送审人员通过邮件链接上传代表作，代表作上传后不允许修改。</w:t>
            </w:r>
          </w:p>
          <w:p w14:paraId="5AB0C085">
            <w:pPr>
              <w:spacing w:line="520" w:lineRule="exact"/>
              <w:rPr>
                <w:rFonts w:hint="eastAsia" w:ascii="宋体" w:hAnsi="宋体" w:cs="宋体"/>
                <w:bCs/>
                <w:sz w:val="21"/>
                <w:szCs w:val="21"/>
              </w:rPr>
            </w:pPr>
            <w:r>
              <w:rPr>
                <w:rFonts w:hint="eastAsia" w:ascii="宋体" w:hAnsi="宋体" w:cs="宋体"/>
                <w:bCs/>
                <w:sz w:val="21"/>
                <w:szCs w:val="21"/>
              </w:rPr>
              <w:t>8.5.委托专家/协审单位</w:t>
            </w:r>
          </w:p>
          <w:p w14:paraId="49D681F0">
            <w:pPr>
              <w:spacing w:line="520" w:lineRule="exact"/>
              <w:rPr>
                <w:rFonts w:hint="eastAsia" w:ascii="宋体" w:hAnsi="宋体" w:cs="宋体"/>
                <w:bCs/>
                <w:sz w:val="21"/>
                <w:szCs w:val="21"/>
              </w:rPr>
            </w:pPr>
            <w:r>
              <w:rPr>
                <w:rFonts w:hint="eastAsia" w:ascii="宋体" w:hAnsi="宋体" w:cs="宋体"/>
                <w:bCs/>
                <w:sz w:val="21"/>
                <w:szCs w:val="21"/>
              </w:rPr>
              <w:t>支持直接委托专家、委托协审单位两种送审模式。</w:t>
            </w:r>
          </w:p>
          <w:p w14:paraId="4543A2F0">
            <w:pPr>
              <w:spacing w:line="520" w:lineRule="exact"/>
              <w:rPr>
                <w:rFonts w:hint="eastAsia" w:ascii="宋体" w:hAnsi="宋体" w:cs="宋体"/>
                <w:bCs/>
                <w:sz w:val="21"/>
                <w:szCs w:val="21"/>
              </w:rPr>
            </w:pPr>
            <w:r>
              <w:rPr>
                <w:rFonts w:hint="eastAsia" w:ascii="宋体" w:hAnsi="宋体" w:cs="宋体"/>
                <w:bCs/>
                <w:sz w:val="21"/>
                <w:szCs w:val="21"/>
              </w:rPr>
              <w:t>①委托专家模式：送审单位可以自建专家库，给专家发送邮件邀请专家评审；</w:t>
            </w:r>
          </w:p>
          <w:p w14:paraId="4ECEA75B">
            <w:pPr>
              <w:spacing w:line="520" w:lineRule="exact"/>
              <w:rPr>
                <w:rFonts w:hint="eastAsia" w:ascii="宋体" w:hAnsi="宋体" w:cs="宋体"/>
                <w:bCs/>
                <w:sz w:val="21"/>
                <w:szCs w:val="21"/>
              </w:rPr>
            </w:pPr>
            <w:r>
              <w:rPr>
                <w:rFonts w:hint="eastAsia" w:ascii="宋体" w:hAnsi="宋体" w:cs="宋体"/>
                <w:bCs/>
                <w:sz w:val="21"/>
                <w:szCs w:val="21"/>
              </w:rPr>
              <w:t>②委托协审单位模式：送审单位可以委托其他单位协助评审，支持两种委托方式：一是委托协审单位分配专家，帮助协审，此种委托方式需要协审单位建设自己的专家库，上传专家信息；二是平台自动按委托单位生成邀请码，协审单位可以将邀请码线下分配给专家，此种委托方式不需要协审单位建设专家库，专家在签收材料时按要求自主填写信息。</w:t>
            </w:r>
          </w:p>
          <w:p w14:paraId="68F7238D">
            <w:pPr>
              <w:spacing w:line="520" w:lineRule="exact"/>
              <w:rPr>
                <w:rFonts w:hint="eastAsia" w:ascii="宋体" w:hAnsi="宋体" w:cs="宋体"/>
                <w:bCs/>
                <w:sz w:val="21"/>
                <w:szCs w:val="21"/>
              </w:rPr>
            </w:pPr>
            <w:r>
              <w:rPr>
                <w:rFonts w:hint="eastAsia" w:ascii="宋体" w:hAnsi="宋体" w:cs="宋体"/>
                <w:bCs/>
                <w:sz w:val="21"/>
                <w:szCs w:val="21"/>
              </w:rPr>
              <w:t>8.6.专家评审</w:t>
            </w:r>
          </w:p>
          <w:p w14:paraId="6C1BBBBA">
            <w:pPr>
              <w:spacing w:line="520" w:lineRule="exact"/>
              <w:rPr>
                <w:rFonts w:hint="eastAsia" w:ascii="宋体" w:hAnsi="宋体" w:cs="宋体"/>
                <w:bCs/>
                <w:sz w:val="21"/>
                <w:szCs w:val="21"/>
              </w:rPr>
            </w:pPr>
            <w:r>
              <w:rPr>
                <w:rFonts w:hint="eastAsia" w:ascii="宋体" w:hAnsi="宋体" w:cs="宋体"/>
                <w:bCs/>
                <w:sz w:val="21"/>
                <w:szCs w:val="21"/>
              </w:rPr>
              <w:t>根据委托模式和委托方式的不同，已录入专家库的专家收到送审单位/协审单位发送的邀请评审邮件后，可以通过邮件链接登录评审页面签收材料，在线预览或下载代表作，并进行评审，评审意见提交时支持在线电子签名；邀请码分配方式，专家通过邀请码直接登录系统，完善个人信息签收材料，在线预览或下载代表作，并进行评审，评审意见提交时支持在线电子签名。</w:t>
            </w:r>
          </w:p>
          <w:p w14:paraId="7EFDB0CC">
            <w:pPr>
              <w:spacing w:line="520" w:lineRule="exact"/>
              <w:rPr>
                <w:rFonts w:hint="eastAsia" w:ascii="宋体" w:hAnsi="宋体" w:cs="宋体"/>
                <w:bCs/>
                <w:sz w:val="21"/>
                <w:szCs w:val="21"/>
              </w:rPr>
            </w:pPr>
            <w:r>
              <w:rPr>
                <w:rFonts w:hint="eastAsia" w:ascii="宋体" w:hAnsi="宋体" w:cs="宋体"/>
                <w:bCs/>
                <w:sz w:val="21"/>
                <w:szCs w:val="21"/>
              </w:rPr>
              <w:t>8.7.评审进度监控</w:t>
            </w:r>
          </w:p>
          <w:p w14:paraId="65748768">
            <w:pPr>
              <w:spacing w:line="520" w:lineRule="exact"/>
              <w:rPr>
                <w:rFonts w:hint="eastAsia" w:ascii="宋体" w:hAnsi="宋体" w:cs="宋体"/>
                <w:bCs/>
                <w:sz w:val="21"/>
                <w:szCs w:val="21"/>
              </w:rPr>
            </w:pPr>
            <w:r>
              <w:rPr>
                <w:rFonts w:hint="eastAsia" w:ascii="宋体" w:hAnsi="宋体" w:cs="宋体"/>
                <w:bCs/>
                <w:sz w:val="21"/>
                <w:szCs w:val="21"/>
              </w:rPr>
              <w:t>支持送审单位查看送审进度，查看材料签收情况，查看专家在线评审进度等；系统还支持协审单位查看协审进度，查看材料签收情况，查看专家评审进度等，若专家未签收，可以重新指派专家。</w:t>
            </w:r>
          </w:p>
          <w:p w14:paraId="427B8004">
            <w:pPr>
              <w:spacing w:line="520" w:lineRule="exact"/>
              <w:rPr>
                <w:rFonts w:hint="eastAsia" w:ascii="宋体" w:hAnsi="宋体" w:cs="宋体"/>
                <w:bCs/>
                <w:sz w:val="21"/>
                <w:szCs w:val="21"/>
              </w:rPr>
            </w:pPr>
            <w:r>
              <w:rPr>
                <w:rFonts w:hint="eastAsia" w:ascii="宋体" w:hAnsi="宋体" w:cs="宋体"/>
                <w:bCs/>
                <w:sz w:val="21"/>
                <w:szCs w:val="21"/>
              </w:rPr>
              <w:t>8.8.评审结果管理</w:t>
            </w:r>
          </w:p>
          <w:p w14:paraId="16EAEE20">
            <w:pPr>
              <w:spacing w:line="520" w:lineRule="exact"/>
              <w:rPr>
                <w:rFonts w:hint="eastAsia" w:ascii="宋体" w:hAnsi="宋体" w:cs="宋体"/>
                <w:bCs/>
                <w:sz w:val="21"/>
                <w:szCs w:val="21"/>
              </w:rPr>
            </w:pPr>
            <w:r>
              <w:rPr>
                <w:rFonts w:hint="eastAsia" w:ascii="宋体" w:hAnsi="宋体" w:cs="宋体"/>
                <w:bCs/>
                <w:sz w:val="21"/>
                <w:szCs w:val="21"/>
              </w:rPr>
              <w:t>系统支持送审单位/协审单位/专家个人对评审结果进行查询和统计。支持查看、导出送审批次下所有评审专家信息；支持查看、下载专家评审鉴定意见表；支持查看、汇总、下载送审人员评审信息表。</w:t>
            </w:r>
          </w:p>
          <w:p w14:paraId="4DBDFED7">
            <w:pPr>
              <w:spacing w:line="520" w:lineRule="exact"/>
              <w:rPr>
                <w:rFonts w:hint="eastAsia" w:ascii="宋体" w:hAnsi="宋体" w:cs="宋体"/>
                <w:bCs/>
                <w:sz w:val="21"/>
                <w:szCs w:val="21"/>
              </w:rPr>
            </w:pPr>
            <w:r>
              <w:rPr>
                <w:rFonts w:hint="eastAsia" w:ascii="宋体" w:hAnsi="宋体" w:cs="宋体"/>
                <w:bCs/>
                <w:sz w:val="21"/>
                <w:szCs w:val="21"/>
              </w:rPr>
              <w:t>9.投票管理</w:t>
            </w:r>
          </w:p>
          <w:p w14:paraId="0CE6674F">
            <w:pPr>
              <w:spacing w:line="520" w:lineRule="exact"/>
              <w:rPr>
                <w:rFonts w:hint="eastAsia" w:ascii="宋体" w:hAnsi="宋体" w:cs="宋体"/>
                <w:bCs/>
                <w:sz w:val="21"/>
                <w:szCs w:val="21"/>
              </w:rPr>
            </w:pPr>
            <w:r>
              <w:rPr>
                <w:rFonts w:hint="eastAsia" w:ascii="宋体" w:hAnsi="宋体" w:cs="宋体"/>
                <w:bCs/>
                <w:sz w:val="21"/>
                <w:szCs w:val="21"/>
              </w:rPr>
              <w:t>干部管理、岗位聘任、职称评审、人才项目申报等业务过程中，需要组织专家进行会议评审，并现场进行投票表决。通过投票管理需实现无纸化投票。</w:t>
            </w:r>
          </w:p>
          <w:p w14:paraId="7E15F612">
            <w:pPr>
              <w:spacing w:line="520" w:lineRule="exact"/>
              <w:rPr>
                <w:rFonts w:hint="eastAsia" w:ascii="宋体" w:hAnsi="宋体" w:cs="宋体"/>
                <w:bCs/>
                <w:sz w:val="21"/>
                <w:szCs w:val="21"/>
              </w:rPr>
            </w:pPr>
            <w:r>
              <w:rPr>
                <w:rFonts w:hint="eastAsia" w:ascii="宋体" w:hAnsi="宋体" w:cs="宋体"/>
                <w:bCs/>
                <w:sz w:val="21"/>
                <w:szCs w:val="21"/>
              </w:rPr>
              <w:t>9.1.投票管理</w:t>
            </w:r>
          </w:p>
          <w:p w14:paraId="2B8E0F78">
            <w:pPr>
              <w:spacing w:line="520" w:lineRule="exact"/>
              <w:rPr>
                <w:rFonts w:hint="eastAsia" w:ascii="宋体" w:hAnsi="宋体" w:cs="宋体"/>
                <w:bCs/>
                <w:sz w:val="21"/>
                <w:szCs w:val="21"/>
              </w:rPr>
            </w:pPr>
            <w:r>
              <w:rPr>
                <w:rFonts w:hint="eastAsia" w:ascii="宋体" w:hAnsi="宋体" w:cs="宋体"/>
                <w:bCs/>
                <w:sz w:val="21"/>
                <w:szCs w:val="21"/>
              </w:rPr>
              <w:t>9.1.1.投票模板管理</w:t>
            </w:r>
          </w:p>
          <w:p w14:paraId="03F43D0C">
            <w:pPr>
              <w:spacing w:line="520" w:lineRule="exact"/>
              <w:rPr>
                <w:rFonts w:hint="eastAsia" w:ascii="宋体" w:hAnsi="宋体" w:cs="宋体"/>
                <w:bCs/>
                <w:sz w:val="21"/>
                <w:szCs w:val="21"/>
              </w:rPr>
            </w:pPr>
            <w:r>
              <w:rPr>
                <w:rFonts w:hint="eastAsia" w:ascii="宋体" w:hAnsi="宋体" w:cs="宋体"/>
                <w:bCs/>
                <w:sz w:val="21"/>
                <w:szCs w:val="21"/>
              </w:rPr>
              <w:t>系统需内置不同的投票模板，可将每次启动的投票项目保存为投票模板，下次可复用模板中的投票规则、投票指标等。</w:t>
            </w:r>
          </w:p>
          <w:p w14:paraId="4BD6AFA7">
            <w:pPr>
              <w:spacing w:line="520" w:lineRule="exact"/>
              <w:rPr>
                <w:rFonts w:hint="eastAsia" w:ascii="宋体" w:hAnsi="宋体" w:cs="宋体"/>
                <w:bCs/>
                <w:sz w:val="21"/>
                <w:szCs w:val="21"/>
              </w:rPr>
            </w:pPr>
            <w:r>
              <w:rPr>
                <w:rFonts w:hint="eastAsia" w:ascii="宋体" w:hAnsi="宋体" w:cs="宋体"/>
                <w:bCs/>
                <w:sz w:val="21"/>
                <w:szCs w:val="21"/>
              </w:rPr>
              <w:t>9.1.2.投票项目管理</w:t>
            </w:r>
          </w:p>
          <w:p w14:paraId="061D7FA6">
            <w:pPr>
              <w:spacing w:line="520" w:lineRule="exact"/>
              <w:rPr>
                <w:rFonts w:hint="eastAsia" w:ascii="宋体" w:hAnsi="宋体" w:cs="宋体"/>
                <w:bCs/>
                <w:sz w:val="21"/>
                <w:szCs w:val="21"/>
              </w:rPr>
            </w:pPr>
            <w:r>
              <w:rPr>
                <w:rFonts w:hint="eastAsia" w:ascii="宋体" w:hAnsi="宋体" w:cs="宋体"/>
                <w:bCs/>
                <w:sz w:val="21"/>
                <w:szCs w:val="21"/>
              </w:rPr>
              <w:t>系统支持创建投票项目，可选择使用已有模板创建、新增投票项目两种方式，支持对投票规则、投票指标、候选人、评委等进行灵活设置。</w:t>
            </w:r>
          </w:p>
          <w:p w14:paraId="34B6BEF3">
            <w:pPr>
              <w:spacing w:line="520" w:lineRule="exact"/>
              <w:rPr>
                <w:rFonts w:hint="eastAsia" w:ascii="宋体" w:hAnsi="宋体" w:cs="宋体"/>
                <w:bCs/>
                <w:sz w:val="21"/>
                <w:szCs w:val="21"/>
              </w:rPr>
            </w:pPr>
            <w:r>
              <w:rPr>
                <w:rFonts w:hint="eastAsia" w:ascii="宋体" w:hAnsi="宋体" w:cs="宋体"/>
                <w:bCs/>
                <w:sz w:val="21"/>
                <w:szCs w:val="21"/>
              </w:rPr>
              <w:t>①投票规则设置：支持等额、差额、差额分组、打分四种投票规则，可设置对应的名额、可投同意票数、通过票数比例；</w:t>
            </w:r>
          </w:p>
          <w:p w14:paraId="61C83A3B">
            <w:pPr>
              <w:spacing w:line="520" w:lineRule="exact"/>
              <w:rPr>
                <w:rFonts w:hint="eastAsia" w:ascii="宋体" w:hAnsi="宋体" w:cs="宋体"/>
                <w:bCs/>
                <w:sz w:val="21"/>
                <w:szCs w:val="21"/>
              </w:rPr>
            </w:pPr>
            <w:r>
              <w:rPr>
                <w:rFonts w:hint="eastAsia" w:ascii="宋体" w:hAnsi="宋体" w:cs="宋体"/>
                <w:bCs/>
                <w:sz w:val="21"/>
                <w:szCs w:val="21"/>
              </w:rPr>
              <w:t>②投票指标设置：支持设置指标名称、排序号，可设置每个指标是否定义为通过、票数存储规则（同意票数、不同意票数、弃权票数）；若是打分投票规则，还可设置每个指标的分值以及权重；</w:t>
            </w:r>
          </w:p>
          <w:p w14:paraId="596ECDFC">
            <w:pPr>
              <w:spacing w:line="520" w:lineRule="exact"/>
              <w:rPr>
                <w:rFonts w:hint="eastAsia" w:ascii="宋体" w:hAnsi="宋体" w:cs="宋体"/>
                <w:bCs/>
                <w:sz w:val="21"/>
                <w:szCs w:val="21"/>
              </w:rPr>
            </w:pPr>
            <w:r>
              <w:rPr>
                <w:rFonts w:hint="eastAsia" w:ascii="宋体" w:hAnsi="宋体" w:cs="宋体"/>
                <w:bCs/>
                <w:sz w:val="21"/>
                <w:szCs w:val="21"/>
              </w:rPr>
              <w:t>③候选人设置：可定义和维护候选人信息及其材料，支持批量导入候选人基本信息；支持批量导入附件材料；支持直接引入其他投票项目的候选人。</w:t>
            </w:r>
          </w:p>
          <w:p w14:paraId="0AE1339D">
            <w:pPr>
              <w:spacing w:line="520" w:lineRule="exact"/>
              <w:rPr>
                <w:rFonts w:hint="eastAsia" w:ascii="宋体" w:hAnsi="宋体" w:cs="宋体"/>
                <w:bCs/>
                <w:sz w:val="21"/>
                <w:szCs w:val="21"/>
              </w:rPr>
            </w:pPr>
            <w:r>
              <w:rPr>
                <w:rFonts w:hint="eastAsia" w:ascii="宋体" w:hAnsi="宋体" w:cs="宋体"/>
                <w:bCs/>
                <w:sz w:val="21"/>
                <w:szCs w:val="21"/>
              </w:rPr>
              <w:t>④评委设置：根据评委数自动生成匿名账号和二维码，也可引用其他投票项目的投票账号；投票账号支持导出。</w:t>
            </w:r>
          </w:p>
          <w:p w14:paraId="7C85B332">
            <w:pPr>
              <w:spacing w:line="520" w:lineRule="exact"/>
              <w:rPr>
                <w:rFonts w:hint="eastAsia" w:ascii="宋体" w:hAnsi="宋体" w:cs="宋体"/>
                <w:bCs/>
                <w:sz w:val="21"/>
                <w:szCs w:val="21"/>
              </w:rPr>
            </w:pPr>
            <w:r>
              <w:rPr>
                <w:rFonts w:hint="eastAsia" w:ascii="宋体" w:hAnsi="宋体" w:cs="宋体"/>
                <w:bCs/>
                <w:sz w:val="21"/>
                <w:szCs w:val="21"/>
              </w:rPr>
              <w:t>9.1.3.投票监控</w:t>
            </w:r>
          </w:p>
          <w:p w14:paraId="303888F7">
            <w:pPr>
              <w:spacing w:line="520" w:lineRule="exact"/>
              <w:rPr>
                <w:rFonts w:hint="eastAsia" w:ascii="宋体" w:hAnsi="宋体" w:cs="宋体"/>
                <w:bCs/>
                <w:sz w:val="21"/>
                <w:szCs w:val="21"/>
              </w:rPr>
            </w:pPr>
            <w:r>
              <w:rPr>
                <w:rFonts w:hint="eastAsia" w:ascii="宋体" w:hAnsi="宋体" w:cs="宋体"/>
                <w:bCs/>
                <w:sz w:val="21"/>
                <w:szCs w:val="21"/>
              </w:rPr>
              <w:t>系统支持实时查看每一轮投票的具体情况，当前已提交人数、总人数、投票进度百分比等；支持实时查看候选人每一轮的投票结果，包括同意票数、弃权票数、不同意票数。</w:t>
            </w:r>
          </w:p>
          <w:p w14:paraId="03EB32B1">
            <w:pPr>
              <w:spacing w:line="520" w:lineRule="exact"/>
              <w:rPr>
                <w:rFonts w:hint="eastAsia" w:ascii="宋体" w:hAnsi="宋体" w:cs="宋体"/>
                <w:bCs/>
                <w:sz w:val="21"/>
                <w:szCs w:val="21"/>
              </w:rPr>
            </w:pPr>
            <w:r>
              <w:rPr>
                <w:rFonts w:hint="eastAsia" w:ascii="宋体" w:hAnsi="宋体" w:cs="宋体"/>
                <w:bCs/>
                <w:sz w:val="21"/>
                <w:szCs w:val="21"/>
              </w:rPr>
              <w:t>9.1.4.多轮投票</w:t>
            </w:r>
          </w:p>
          <w:p w14:paraId="7104644C">
            <w:pPr>
              <w:spacing w:line="520" w:lineRule="exact"/>
              <w:rPr>
                <w:rFonts w:hint="eastAsia" w:ascii="宋体" w:hAnsi="宋体" w:cs="宋体"/>
                <w:bCs/>
                <w:sz w:val="21"/>
                <w:szCs w:val="21"/>
              </w:rPr>
            </w:pPr>
            <w:r>
              <w:rPr>
                <w:rFonts w:hint="eastAsia" w:ascii="宋体" w:hAnsi="宋体" w:cs="宋体"/>
                <w:bCs/>
                <w:sz w:val="21"/>
                <w:szCs w:val="21"/>
              </w:rPr>
              <w:t>差额模式下，可进行多轮反复投票，可选择投票组启动下一轮投票，筛选进入下一轮投票的人员，设定每轮投票的名额和通过票数等；可查看每轮投票的情况。</w:t>
            </w:r>
          </w:p>
          <w:p w14:paraId="5088BA0F">
            <w:pPr>
              <w:spacing w:line="520" w:lineRule="exact"/>
              <w:rPr>
                <w:rFonts w:hint="eastAsia" w:ascii="宋体" w:hAnsi="宋体" w:cs="宋体"/>
                <w:bCs/>
                <w:sz w:val="21"/>
                <w:szCs w:val="21"/>
              </w:rPr>
            </w:pPr>
            <w:r>
              <w:rPr>
                <w:rFonts w:hint="eastAsia" w:ascii="宋体" w:hAnsi="宋体" w:cs="宋体"/>
                <w:bCs/>
                <w:sz w:val="21"/>
                <w:szCs w:val="21"/>
              </w:rPr>
              <w:t>9.1.5.投票结果与统计</w:t>
            </w:r>
          </w:p>
          <w:p w14:paraId="2856B46E">
            <w:pPr>
              <w:spacing w:line="520" w:lineRule="exact"/>
              <w:rPr>
                <w:rFonts w:hint="eastAsia" w:ascii="宋体" w:hAnsi="宋体" w:cs="宋体"/>
                <w:bCs/>
                <w:sz w:val="21"/>
                <w:szCs w:val="21"/>
              </w:rPr>
            </w:pPr>
            <w:r>
              <w:rPr>
                <w:rFonts w:hint="eastAsia" w:ascii="宋体" w:hAnsi="宋体" w:cs="宋体"/>
                <w:bCs/>
                <w:sz w:val="21"/>
                <w:szCs w:val="21"/>
              </w:rPr>
              <w:t>投票结束后，系统自动统计票数，并可根据规则判断哪些人通过了投票。投票结果可现场打印出来供专家签字确认。</w:t>
            </w:r>
          </w:p>
          <w:p w14:paraId="2154B7C7">
            <w:pPr>
              <w:spacing w:line="520" w:lineRule="exact"/>
              <w:rPr>
                <w:rFonts w:hint="eastAsia" w:ascii="宋体" w:hAnsi="宋体" w:cs="宋体"/>
                <w:bCs/>
                <w:sz w:val="21"/>
                <w:szCs w:val="21"/>
              </w:rPr>
            </w:pPr>
            <w:r>
              <w:rPr>
                <w:rFonts w:hint="eastAsia" w:ascii="宋体" w:hAnsi="宋体" w:cs="宋体"/>
                <w:bCs/>
                <w:sz w:val="21"/>
                <w:szCs w:val="21"/>
              </w:rPr>
              <w:t>9.1.6.投票大屏</w:t>
            </w:r>
          </w:p>
          <w:p w14:paraId="4A1B22A3">
            <w:pPr>
              <w:spacing w:line="520" w:lineRule="exact"/>
              <w:rPr>
                <w:rFonts w:hint="eastAsia" w:ascii="宋体" w:hAnsi="宋体" w:cs="宋体"/>
                <w:bCs/>
                <w:sz w:val="21"/>
                <w:szCs w:val="21"/>
              </w:rPr>
            </w:pPr>
            <w:r>
              <w:rPr>
                <w:rFonts w:hint="eastAsia" w:ascii="宋体" w:hAnsi="宋体" w:cs="宋体"/>
                <w:bCs/>
                <w:sz w:val="21"/>
                <w:szCs w:val="21"/>
              </w:rPr>
              <w:t>投票结果及进度可通过大屏幕现场显示，可展示投票中和已完成的项目；支持实时查看投票项目每一轮的基本信息和专家投票情况；可通过饼状图、柱状图等图表实时显示投票结果。</w:t>
            </w:r>
          </w:p>
          <w:p w14:paraId="0E0C9CC9">
            <w:pPr>
              <w:spacing w:line="520" w:lineRule="exact"/>
              <w:rPr>
                <w:rFonts w:hint="eastAsia" w:ascii="宋体" w:hAnsi="宋体" w:cs="宋体"/>
                <w:bCs/>
                <w:sz w:val="21"/>
                <w:szCs w:val="21"/>
              </w:rPr>
            </w:pPr>
            <w:r>
              <w:rPr>
                <w:rFonts w:hint="eastAsia" w:ascii="宋体" w:hAnsi="宋体" w:cs="宋体"/>
                <w:bCs/>
                <w:sz w:val="21"/>
                <w:szCs w:val="21"/>
              </w:rPr>
              <w:t>9.2.在线投票</w:t>
            </w:r>
          </w:p>
          <w:p w14:paraId="14E78F22">
            <w:pPr>
              <w:spacing w:line="520" w:lineRule="exact"/>
              <w:rPr>
                <w:rFonts w:hint="eastAsia" w:ascii="宋体" w:hAnsi="宋体" w:cs="宋体"/>
                <w:bCs/>
                <w:sz w:val="21"/>
                <w:szCs w:val="21"/>
              </w:rPr>
            </w:pPr>
            <w:r>
              <w:rPr>
                <w:rFonts w:hint="eastAsia" w:ascii="宋体" w:hAnsi="宋体" w:cs="宋体"/>
                <w:bCs/>
                <w:sz w:val="21"/>
                <w:szCs w:val="21"/>
              </w:rPr>
              <w:t>9.2.1.投票登录</w:t>
            </w:r>
          </w:p>
          <w:p w14:paraId="126AC31A">
            <w:pPr>
              <w:spacing w:line="520" w:lineRule="exact"/>
              <w:rPr>
                <w:rFonts w:hint="eastAsia" w:ascii="宋体" w:hAnsi="宋体" w:cs="宋体"/>
                <w:bCs/>
                <w:sz w:val="21"/>
                <w:szCs w:val="21"/>
              </w:rPr>
            </w:pPr>
            <w:r>
              <w:rPr>
                <w:rFonts w:hint="eastAsia" w:ascii="宋体" w:hAnsi="宋体" w:cs="宋体"/>
                <w:bCs/>
                <w:sz w:val="21"/>
                <w:szCs w:val="21"/>
              </w:rPr>
              <w:t>支持电脑、手机、PAD等多种方式登录投票系统，可直接访问投票地址、输入投票账号或手机扫描二维码进行投票。</w:t>
            </w:r>
          </w:p>
          <w:p w14:paraId="24CB7551">
            <w:pPr>
              <w:spacing w:line="520" w:lineRule="exact"/>
              <w:rPr>
                <w:rFonts w:hint="eastAsia" w:ascii="宋体" w:hAnsi="宋体" w:cs="宋体"/>
                <w:bCs/>
                <w:sz w:val="21"/>
                <w:szCs w:val="21"/>
              </w:rPr>
            </w:pPr>
            <w:r>
              <w:rPr>
                <w:rFonts w:hint="eastAsia" w:ascii="宋体" w:hAnsi="宋体" w:cs="宋体"/>
                <w:bCs/>
                <w:sz w:val="21"/>
                <w:szCs w:val="21"/>
              </w:rPr>
              <w:t>9.2.2.候选人信息查询</w:t>
            </w:r>
          </w:p>
          <w:p w14:paraId="2C607919">
            <w:pPr>
              <w:spacing w:line="520" w:lineRule="exact"/>
              <w:rPr>
                <w:rFonts w:hint="eastAsia" w:ascii="宋体" w:hAnsi="宋体" w:cs="宋体"/>
                <w:bCs/>
                <w:sz w:val="21"/>
                <w:szCs w:val="21"/>
              </w:rPr>
            </w:pPr>
            <w:r>
              <w:rPr>
                <w:rFonts w:hint="eastAsia" w:ascii="宋体" w:hAnsi="宋体" w:cs="宋体"/>
                <w:bCs/>
                <w:sz w:val="21"/>
                <w:szCs w:val="21"/>
              </w:rPr>
              <w:t>支持预览候选人基本信息、附件材料信息。预览过程中可以对候选人打标签，能快速筛选出不同标签的候选人。</w:t>
            </w:r>
          </w:p>
          <w:p w14:paraId="0C12714D">
            <w:pPr>
              <w:spacing w:line="520" w:lineRule="exact"/>
              <w:rPr>
                <w:rFonts w:hint="eastAsia" w:ascii="宋体" w:hAnsi="宋体" w:cs="宋体"/>
                <w:bCs/>
                <w:sz w:val="21"/>
                <w:szCs w:val="21"/>
              </w:rPr>
            </w:pPr>
            <w:r>
              <w:rPr>
                <w:rFonts w:hint="eastAsia" w:ascii="宋体" w:hAnsi="宋体" w:cs="宋体"/>
                <w:bCs/>
                <w:sz w:val="21"/>
                <w:szCs w:val="21"/>
              </w:rPr>
              <w:t>9.2.3.在线投票</w:t>
            </w:r>
          </w:p>
          <w:p w14:paraId="3A9159CF">
            <w:pPr>
              <w:spacing w:line="520" w:lineRule="exact"/>
              <w:rPr>
                <w:rFonts w:hint="eastAsia" w:ascii="宋体" w:hAnsi="宋体" w:cs="宋体"/>
                <w:bCs/>
                <w:sz w:val="21"/>
                <w:szCs w:val="21"/>
              </w:rPr>
            </w:pPr>
            <w:r>
              <w:rPr>
                <w:rFonts w:hint="eastAsia" w:ascii="宋体" w:hAnsi="宋体" w:cs="宋体"/>
                <w:bCs/>
                <w:sz w:val="21"/>
                <w:szCs w:val="21"/>
              </w:rPr>
              <w:t>支持批量投票或按候选人逐个投票，系统实时统计最多可投、已投、剩余票数。</w:t>
            </w:r>
          </w:p>
          <w:p w14:paraId="752F34EF">
            <w:pPr>
              <w:spacing w:line="520" w:lineRule="exact"/>
              <w:rPr>
                <w:rFonts w:hint="eastAsia" w:ascii="宋体" w:hAnsi="宋体" w:cs="宋体"/>
                <w:bCs/>
                <w:sz w:val="21"/>
                <w:szCs w:val="21"/>
              </w:rPr>
            </w:pPr>
            <w:r>
              <w:rPr>
                <w:rFonts w:hint="eastAsia" w:ascii="宋体" w:hAnsi="宋体" w:cs="宋体"/>
                <w:bCs/>
                <w:sz w:val="21"/>
                <w:szCs w:val="21"/>
              </w:rPr>
              <w:t>10.年度考核</w:t>
            </w:r>
          </w:p>
          <w:p w14:paraId="2F0EB3C1">
            <w:pPr>
              <w:spacing w:line="520" w:lineRule="exact"/>
              <w:rPr>
                <w:rFonts w:hint="eastAsia" w:ascii="宋体" w:hAnsi="宋体" w:cs="宋体"/>
                <w:bCs/>
                <w:sz w:val="21"/>
                <w:szCs w:val="21"/>
              </w:rPr>
            </w:pPr>
            <w:r>
              <w:rPr>
                <w:rFonts w:hint="eastAsia" w:ascii="宋体" w:hAnsi="宋体" w:cs="宋体"/>
                <w:bCs/>
                <w:sz w:val="21"/>
                <w:szCs w:val="21"/>
              </w:rPr>
              <w:t>系统支持教职工年度考核的全过程管理，包括考核项目设置、个人填报考核表、二级单位审核和设置考核结果、组织人事部汇总考核结果等环节；支持对历年考核结果数据的查询与汇总。</w:t>
            </w:r>
          </w:p>
          <w:p w14:paraId="6212C190">
            <w:pPr>
              <w:spacing w:line="520" w:lineRule="exact"/>
              <w:rPr>
                <w:rFonts w:hint="eastAsia" w:ascii="宋体" w:hAnsi="宋体" w:cs="宋体"/>
                <w:bCs/>
                <w:sz w:val="21"/>
                <w:szCs w:val="21"/>
              </w:rPr>
            </w:pPr>
            <w:r>
              <w:rPr>
                <w:rFonts w:hint="eastAsia" w:ascii="宋体" w:hAnsi="宋体" w:cs="宋体"/>
                <w:bCs/>
                <w:sz w:val="21"/>
                <w:szCs w:val="21"/>
              </w:rPr>
              <w:t>10.1.考核项目设置</w:t>
            </w:r>
          </w:p>
          <w:p w14:paraId="049891F9">
            <w:pPr>
              <w:spacing w:line="520" w:lineRule="exact"/>
              <w:rPr>
                <w:rFonts w:hint="eastAsia" w:ascii="宋体" w:hAnsi="宋体" w:cs="宋体"/>
                <w:bCs/>
                <w:sz w:val="21"/>
                <w:szCs w:val="21"/>
              </w:rPr>
            </w:pPr>
            <w:r>
              <w:rPr>
                <w:rFonts w:hint="eastAsia" w:ascii="宋体" w:hAnsi="宋体" w:cs="宋体"/>
                <w:bCs/>
                <w:sz w:val="21"/>
                <w:szCs w:val="21"/>
              </w:rPr>
              <w:t>年度考核工作按考核项目启动，支持设置考核项目基本信息、考核单位、考核等级、人员分组等。</w:t>
            </w:r>
          </w:p>
          <w:p w14:paraId="6C24BD12">
            <w:pPr>
              <w:spacing w:line="520" w:lineRule="exact"/>
              <w:rPr>
                <w:rFonts w:hint="eastAsia" w:ascii="宋体" w:hAnsi="宋体" w:cs="宋体"/>
                <w:bCs/>
                <w:sz w:val="21"/>
                <w:szCs w:val="21"/>
              </w:rPr>
            </w:pPr>
            <w:r>
              <w:rPr>
                <w:rFonts w:hint="eastAsia" w:ascii="宋体" w:hAnsi="宋体" w:cs="宋体"/>
                <w:bCs/>
                <w:sz w:val="21"/>
                <w:szCs w:val="21"/>
              </w:rPr>
              <w:t>①建立考核项目：创建考核项目，设置开始时间、结束时间、考核年度等信息，考核状态可分为未启动、进行中、已结束。</w:t>
            </w:r>
          </w:p>
          <w:p w14:paraId="58763D8B">
            <w:pPr>
              <w:spacing w:line="520" w:lineRule="exact"/>
              <w:rPr>
                <w:rFonts w:hint="eastAsia" w:ascii="宋体" w:hAnsi="宋体" w:cs="宋体"/>
                <w:bCs/>
                <w:sz w:val="21"/>
                <w:szCs w:val="21"/>
              </w:rPr>
            </w:pPr>
            <w:r>
              <w:rPr>
                <w:rFonts w:hint="eastAsia" w:ascii="宋体" w:hAnsi="宋体" w:cs="宋体"/>
                <w:bCs/>
                <w:sz w:val="21"/>
                <w:szCs w:val="21"/>
              </w:rPr>
              <w:t>②考核单位设置：支持考核单位初始化，根据组织机构信息生成考核单位，可以手动添加、删除考核单位；支持将多个二级单位合并为一个考核单位。</w:t>
            </w:r>
          </w:p>
          <w:p w14:paraId="4B23EDD0">
            <w:pPr>
              <w:spacing w:line="520" w:lineRule="exact"/>
              <w:rPr>
                <w:rFonts w:hint="eastAsia" w:ascii="宋体" w:hAnsi="宋体" w:cs="宋体"/>
                <w:bCs/>
                <w:sz w:val="21"/>
                <w:szCs w:val="21"/>
              </w:rPr>
            </w:pPr>
            <w:r>
              <w:rPr>
                <w:rFonts w:hint="eastAsia" w:ascii="宋体" w:hAnsi="宋体" w:cs="宋体"/>
                <w:bCs/>
                <w:sz w:val="21"/>
                <w:szCs w:val="21"/>
              </w:rPr>
              <w:t>③考核人员分组设置：支持按不同岗位类型或人员类别创建多个考核人员分组，不同的分组可绑定不同的考核登记表模板，比如专任教师、行政人员的考核登记表模板会有所不同，则可创建多个考核人员分组；可以设置该分组下的人员范围，系统初始化考核人员名单。</w:t>
            </w:r>
          </w:p>
          <w:p w14:paraId="3C67291E">
            <w:pPr>
              <w:spacing w:line="520" w:lineRule="exact"/>
              <w:rPr>
                <w:rFonts w:hint="eastAsia" w:ascii="宋体" w:hAnsi="宋体" w:cs="宋体"/>
                <w:bCs/>
                <w:sz w:val="21"/>
                <w:szCs w:val="21"/>
              </w:rPr>
            </w:pPr>
            <w:r>
              <w:rPr>
                <w:rFonts w:hint="eastAsia" w:ascii="宋体" w:hAnsi="宋体" w:cs="宋体"/>
                <w:bCs/>
                <w:sz w:val="21"/>
                <w:szCs w:val="21"/>
              </w:rPr>
              <w:t>④考核等级设置：支持灵活定义考核等级，建立考核等级规则。1）可按分数区间、比例设置考核等级分布，2）可以灵活设置考核等级，比如“优秀、合格、不合格”，如果等级分布为按比例，则可设置各个考核等级的比例上限；如果等级分布为分数区间，则可设置各考核等级的分数范围。</w:t>
            </w:r>
          </w:p>
          <w:p w14:paraId="5CA13498">
            <w:pPr>
              <w:spacing w:line="520" w:lineRule="exact"/>
              <w:rPr>
                <w:rFonts w:hint="eastAsia" w:ascii="宋体" w:hAnsi="宋体" w:cs="宋体"/>
                <w:bCs/>
                <w:sz w:val="21"/>
                <w:szCs w:val="21"/>
              </w:rPr>
            </w:pPr>
            <w:r>
              <w:rPr>
                <w:rFonts w:hint="eastAsia" w:ascii="宋体" w:hAnsi="宋体" w:cs="宋体"/>
                <w:bCs/>
                <w:sz w:val="21"/>
                <w:szCs w:val="21"/>
              </w:rPr>
              <w:t>⑤启动考核：考核项目设置确认后，即可启动本次年度考核。</w:t>
            </w:r>
          </w:p>
          <w:p w14:paraId="2F6B9D1C">
            <w:pPr>
              <w:spacing w:line="520" w:lineRule="exact"/>
              <w:rPr>
                <w:rFonts w:hint="eastAsia" w:ascii="宋体" w:hAnsi="宋体" w:cs="宋体"/>
                <w:bCs/>
                <w:sz w:val="21"/>
                <w:szCs w:val="21"/>
              </w:rPr>
            </w:pPr>
            <w:r>
              <w:rPr>
                <w:rFonts w:hint="eastAsia" w:ascii="宋体" w:hAnsi="宋体" w:cs="宋体"/>
                <w:bCs/>
                <w:sz w:val="21"/>
                <w:szCs w:val="21"/>
              </w:rPr>
              <w:t>10.2.个人填报</w:t>
            </w:r>
          </w:p>
          <w:p w14:paraId="4E77189B">
            <w:pPr>
              <w:spacing w:line="520" w:lineRule="exact"/>
              <w:rPr>
                <w:rFonts w:hint="eastAsia" w:ascii="宋体" w:hAnsi="宋体" w:cs="宋体"/>
                <w:bCs/>
                <w:sz w:val="21"/>
                <w:szCs w:val="21"/>
              </w:rPr>
            </w:pPr>
            <w:r>
              <w:rPr>
                <w:rFonts w:hint="eastAsia" w:ascii="宋体" w:hAnsi="宋体" w:cs="宋体"/>
                <w:bCs/>
                <w:sz w:val="21"/>
                <w:szCs w:val="21"/>
              </w:rPr>
              <w:t>教职工个人通过系统填报考核表，根据考核人员分组不同，所填考核表的内容模板也不同。填写考核表时，姓名、工号、单位、岗位、职务等信息可由教职工信息库自动提取，不需重复填报；专任教师填报时，支持教学信息、科研信息等可以通过与公共数据中心对接后自动获取，实现自动填报，个人只需做信息确认。填报完成后，可提交审核，并能在线打印考核表。提交后不能再修改。</w:t>
            </w:r>
          </w:p>
          <w:p w14:paraId="49F7DF8E">
            <w:pPr>
              <w:spacing w:line="520" w:lineRule="exact"/>
              <w:rPr>
                <w:rFonts w:hint="eastAsia" w:ascii="宋体" w:hAnsi="宋体" w:cs="宋体"/>
                <w:bCs/>
                <w:sz w:val="21"/>
                <w:szCs w:val="21"/>
              </w:rPr>
            </w:pPr>
            <w:r>
              <w:rPr>
                <w:rFonts w:hint="eastAsia" w:ascii="宋体" w:hAnsi="宋体" w:cs="宋体"/>
                <w:bCs/>
                <w:sz w:val="21"/>
                <w:szCs w:val="21"/>
              </w:rPr>
              <w:t>10.3.二级单位考核</w:t>
            </w:r>
          </w:p>
          <w:p w14:paraId="45481DFB">
            <w:pPr>
              <w:spacing w:line="520" w:lineRule="exact"/>
              <w:rPr>
                <w:rFonts w:hint="eastAsia" w:ascii="宋体" w:hAnsi="宋体" w:cs="宋体"/>
                <w:bCs/>
                <w:sz w:val="21"/>
                <w:szCs w:val="21"/>
              </w:rPr>
            </w:pPr>
            <w:r>
              <w:rPr>
                <w:rFonts w:hint="eastAsia" w:ascii="宋体" w:hAnsi="宋体" w:cs="宋体"/>
                <w:bCs/>
                <w:sz w:val="21"/>
                <w:szCs w:val="21"/>
              </w:rPr>
              <w:t>教职工提交的考核表，由二级单位组织审核，并由二级单位拟定考核结果。考核结果可以单个设置，也可批量设置。考核结果设置为不合格时，可以填写具体原因说明。二级单位审核并拟定完考核结果后，统一提交给组织人事部审核。提交审核时，系统自动检查各单位设置的优秀人员比率，超过比率时不能提交。可打印本单位的年度考核登记表。</w:t>
            </w:r>
          </w:p>
          <w:p w14:paraId="7AB30663">
            <w:pPr>
              <w:spacing w:line="520" w:lineRule="exact"/>
              <w:rPr>
                <w:rFonts w:hint="eastAsia" w:ascii="宋体" w:hAnsi="宋体" w:cs="宋体"/>
                <w:bCs/>
                <w:sz w:val="21"/>
                <w:szCs w:val="21"/>
              </w:rPr>
            </w:pPr>
            <w:r>
              <w:rPr>
                <w:rFonts w:hint="eastAsia" w:ascii="宋体" w:hAnsi="宋体" w:cs="宋体"/>
                <w:bCs/>
                <w:sz w:val="21"/>
                <w:szCs w:val="21"/>
              </w:rPr>
              <w:t>10.4.考核结果汇总</w:t>
            </w:r>
          </w:p>
          <w:p w14:paraId="41090CDC">
            <w:pPr>
              <w:spacing w:line="520" w:lineRule="exact"/>
              <w:rPr>
                <w:rFonts w:hint="eastAsia" w:ascii="宋体" w:hAnsi="宋体" w:cs="宋体"/>
                <w:bCs/>
                <w:sz w:val="21"/>
                <w:szCs w:val="21"/>
              </w:rPr>
            </w:pPr>
            <w:r>
              <w:rPr>
                <w:rFonts w:hint="eastAsia" w:ascii="宋体" w:hAnsi="宋体" w:cs="宋体"/>
                <w:bCs/>
                <w:sz w:val="21"/>
                <w:szCs w:val="21"/>
              </w:rPr>
              <w:t>学校可查看审核各单位年度考核提交情况，包括未提交、已提交、审核通过的明细数据。学校也可查看全部人员考核结果信息，可打印年度考核结果汇总表，考核结果数据同步至教职工信息库。</w:t>
            </w:r>
          </w:p>
          <w:p w14:paraId="133F285E">
            <w:pPr>
              <w:spacing w:line="520" w:lineRule="exact"/>
              <w:rPr>
                <w:rFonts w:hint="eastAsia" w:ascii="宋体" w:hAnsi="宋体" w:cs="宋体"/>
                <w:bCs/>
                <w:sz w:val="21"/>
                <w:szCs w:val="21"/>
              </w:rPr>
            </w:pPr>
            <w:r>
              <w:rPr>
                <w:rFonts w:hint="eastAsia" w:ascii="宋体" w:hAnsi="宋体" w:cs="宋体"/>
                <w:bCs/>
                <w:sz w:val="21"/>
                <w:szCs w:val="21"/>
              </w:rPr>
              <w:t>10.5.考核档案管理</w:t>
            </w:r>
          </w:p>
          <w:p w14:paraId="78FC6CD2">
            <w:pPr>
              <w:spacing w:line="520" w:lineRule="exact"/>
              <w:rPr>
                <w:rFonts w:hint="eastAsia" w:ascii="宋体" w:hAnsi="宋体" w:cs="宋体"/>
                <w:bCs/>
                <w:sz w:val="21"/>
                <w:szCs w:val="21"/>
              </w:rPr>
            </w:pPr>
            <w:r>
              <w:rPr>
                <w:rFonts w:hint="eastAsia" w:ascii="宋体" w:hAnsi="宋体" w:cs="宋体"/>
                <w:bCs/>
                <w:sz w:val="21"/>
                <w:szCs w:val="21"/>
              </w:rPr>
              <w:t>可查看教职工历年年度考核的结果明细，包括考核年度、考核单位、考核结果；以及当年教职工最终的年度考核表。</w:t>
            </w:r>
          </w:p>
          <w:p w14:paraId="06E7A9DB">
            <w:pPr>
              <w:spacing w:line="520" w:lineRule="exact"/>
              <w:rPr>
                <w:rFonts w:hint="eastAsia" w:ascii="宋体" w:hAnsi="宋体" w:cs="宋体"/>
                <w:bCs/>
                <w:sz w:val="21"/>
                <w:szCs w:val="21"/>
              </w:rPr>
            </w:pPr>
            <w:r>
              <w:rPr>
                <w:rFonts w:hint="eastAsia" w:ascii="宋体" w:hAnsi="宋体" w:cs="宋体"/>
                <w:bCs/>
                <w:sz w:val="21"/>
                <w:szCs w:val="21"/>
              </w:rPr>
              <w:t>10.6.考核统计</w:t>
            </w:r>
          </w:p>
          <w:p w14:paraId="006BE9E4">
            <w:pPr>
              <w:spacing w:line="520" w:lineRule="exact"/>
              <w:rPr>
                <w:rFonts w:hint="eastAsia" w:ascii="宋体" w:hAnsi="宋体" w:cs="宋体"/>
                <w:bCs/>
                <w:sz w:val="21"/>
                <w:szCs w:val="21"/>
              </w:rPr>
            </w:pPr>
            <w:r>
              <w:rPr>
                <w:rFonts w:hint="eastAsia" w:ascii="宋体" w:hAnsi="宋体" w:cs="宋体"/>
                <w:bCs/>
                <w:sz w:val="21"/>
                <w:szCs w:val="21"/>
              </w:rPr>
              <w:t>统计年度考核的考核等级分布情况、单位提交情况、考核单位参与考核人数、优秀比例、优秀人数等。</w:t>
            </w:r>
          </w:p>
          <w:p w14:paraId="46F86D33">
            <w:pPr>
              <w:spacing w:line="520" w:lineRule="exact"/>
              <w:rPr>
                <w:rFonts w:hint="eastAsia" w:ascii="宋体" w:hAnsi="宋体" w:cs="宋体"/>
                <w:bCs/>
                <w:sz w:val="21"/>
                <w:szCs w:val="21"/>
              </w:rPr>
            </w:pPr>
            <w:r>
              <w:rPr>
                <w:rFonts w:hint="eastAsia" w:ascii="宋体" w:hAnsi="宋体" w:cs="宋体"/>
                <w:bCs/>
                <w:sz w:val="21"/>
                <w:szCs w:val="21"/>
              </w:rPr>
              <w:t>11.证明打印</w:t>
            </w:r>
          </w:p>
          <w:p w14:paraId="43821F29">
            <w:pPr>
              <w:spacing w:line="520" w:lineRule="exact"/>
              <w:rPr>
                <w:rFonts w:hint="eastAsia" w:ascii="宋体" w:hAnsi="宋体" w:cs="宋体"/>
                <w:bCs/>
                <w:sz w:val="21"/>
                <w:szCs w:val="21"/>
              </w:rPr>
            </w:pPr>
            <w:r>
              <w:rPr>
                <w:rFonts w:hint="eastAsia" w:ascii="宋体" w:hAnsi="宋体" w:cs="宋体"/>
                <w:bCs/>
                <w:sz w:val="21"/>
                <w:szCs w:val="21"/>
              </w:rPr>
              <w:t>组织人事部经常要开具各类证明，包括在职证明、收入证明、职称证明等。通过系统可按打印模板生成各类证明材料并打印。</w:t>
            </w:r>
          </w:p>
          <w:p w14:paraId="71F240D5">
            <w:pPr>
              <w:spacing w:line="520" w:lineRule="exact"/>
              <w:rPr>
                <w:rFonts w:hint="eastAsia" w:ascii="宋体" w:hAnsi="宋体" w:cs="宋体"/>
                <w:bCs/>
                <w:sz w:val="21"/>
                <w:szCs w:val="21"/>
              </w:rPr>
            </w:pPr>
            <w:r>
              <w:rPr>
                <w:rFonts w:hint="eastAsia" w:ascii="宋体" w:hAnsi="宋体" w:cs="宋体"/>
                <w:bCs/>
                <w:sz w:val="21"/>
                <w:szCs w:val="21"/>
              </w:rPr>
              <w:t>11.1.证明申请及审批</w:t>
            </w:r>
          </w:p>
          <w:p w14:paraId="75AE1C85">
            <w:pPr>
              <w:spacing w:line="520" w:lineRule="exact"/>
              <w:rPr>
                <w:rFonts w:hint="eastAsia" w:ascii="宋体" w:hAnsi="宋体" w:cs="宋体"/>
                <w:bCs/>
                <w:sz w:val="21"/>
                <w:szCs w:val="21"/>
              </w:rPr>
            </w:pPr>
            <w:r>
              <w:rPr>
                <w:rFonts w:hint="eastAsia" w:ascii="宋体" w:hAnsi="宋体" w:cs="宋体"/>
                <w:bCs/>
                <w:sz w:val="21"/>
                <w:szCs w:val="21"/>
              </w:rPr>
              <w:t>教职工可在线填写出具证明的申请，包括证明类型、出具时间、证明用途等。出具证明的申请经组织人事部审核通过后即可进入系统打印。</w:t>
            </w:r>
          </w:p>
          <w:p w14:paraId="3388FEF2">
            <w:pPr>
              <w:spacing w:line="520" w:lineRule="exact"/>
              <w:rPr>
                <w:rFonts w:hint="eastAsia" w:ascii="宋体" w:hAnsi="宋体" w:cs="宋体"/>
                <w:bCs/>
                <w:sz w:val="21"/>
                <w:szCs w:val="21"/>
              </w:rPr>
            </w:pPr>
            <w:r>
              <w:rPr>
                <w:rFonts w:hint="eastAsia" w:ascii="宋体" w:hAnsi="宋体" w:cs="宋体"/>
                <w:bCs/>
                <w:sz w:val="21"/>
                <w:szCs w:val="21"/>
              </w:rPr>
              <w:t>11.2.证明打印</w:t>
            </w:r>
          </w:p>
          <w:p w14:paraId="29A961A8">
            <w:pPr>
              <w:spacing w:line="520" w:lineRule="exact"/>
              <w:rPr>
                <w:rFonts w:hint="eastAsia" w:ascii="宋体" w:hAnsi="宋体" w:cs="宋体"/>
                <w:bCs/>
                <w:sz w:val="21"/>
                <w:szCs w:val="21"/>
              </w:rPr>
            </w:pPr>
            <w:r>
              <w:rPr>
                <w:rFonts w:hint="eastAsia" w:ascii="宋体" w:hAnsi="宋体" w:cs="宋体"/>
                <w:bCs/>
                <w:sz w:val="21"/>
                <w:szCs w:val="21"/>
              </w:rPr>
              <w:t xml:space="preserve">系统根据证明打印模板，自动从系统中提取相关数据，生成打印表单。比如打印收入证明时，系统可自动提取姓名、身份证、所在单位等数据，无需手工填写。 </w:t>
            </w:r>
          </w:p>
          <w:p w14:paraId="62143868">
            <w:pPr>
              <w:spacing w:line="520" w:lineRule="exact"/>
              <w:rPr>
                <w:rFonts w:hint="eastAsia" w:ascii="宋体" w:hAnsi="宋体" w:cs="宋体"/>
                <w:bCs/>
                <w:sz w:val="21"/>
                <w:szCs w:val="21"/>
              </w:rPr>
            </w:pPr>
            <w:r>
              <w:rPr>
                <w:rFonts w:hint="eastAsia" w:ascii="宋体" w:hAnsi="宋体" w:cs="宋体"/>
                <w:bCs/>
                <w:sz w:val="21"/>
                <w:szCs w:val="21"/>
              </w:rPr>
              <w:t>11.3.模板设置</w:t>
            </w:r>
          </w:p>
          <w:p w14:paraId="3CC4C779">
            <w:pPr>
              <w:spacing w:line="520" w:lineRule="exact"/>
              <w:rPr>
                <w:rFonts w:hint="eastAsia" w:ascii="宋体" w:hAnsi="宋体" w:cs="宋体"/>
                <w:bCs/>
                <w:sz w:val="21"/>
                <w:szCs w:val="21"/>
              </w:rPr>
            </w:pPr>
            <w:r>
              <w:rPr>
                <w:rFonts w:hint="eastAsia" w:ascii="宋体" w:hAnsi="宋体" w:cs="宋体"/>
                <w:bCs/>
                <w:sz w:val="21"/>
                <w:szCs w:val="21"/>
              </w:rPr>
              <w:t>可上传各类word版证明打印，比如在职证明、收入证明、职称证明等模板，可设置该类证明是否需要审核才能打印。</w:t>
            </w:r>
          </w:p>
          <w:p w14:paraId="642530B1">
            <w:pPr>
              <w:spacing w:line="520" w:lineRule="exact"/>
              <w:rPr>
                <w:rFonts w:hint="eastAsia" w:ascii="宋体" w:hAnsi="宋体" w:cs="宋体"/>
                <w:bCs/>
                <w:sz w:val="21"/>
                <w:szCs w:val="21"/>
              </w:rPr>
            </w:pPr>
            <w:r>
              <w:rPr>
                <w:rFonts w:hint="eastAsia" w:ascii="宋体" w:hAnsi="宋体" w:cs="宋体"/>
                <w:bCs/>
                <w:sz w:val="21"/>
                <w:szCs w:val="21"/>
              </w:rPr>
              <w:t>12.移动化服务</w:t>
            </w:r>
          </w:p>
          <w:p w14:paraId="01C9D7F0">
            <w:pPr>
              <w:spacing w:line="520" w:lineRule="exact"/>
              <w:rPr>
                <w:rFonts w:hint="eastAsia" w:ascii="宋体" w:hAnsi="宋体" w:cs="宋体"/>
                <w:bCs/>
                <w:sz w:val="21"/>
                <w:szCs w:val="21"/>
              </w:rPr>
            </w:pPr>
            <w:r>
              <w:rPr>
                <w:rFonts w:hint="eastAsia" w:ascii="宋体" w:hAnsi="宋体" w:cs="宋体"/>
                <w:bCs/>
                <w:sz w:val="21"/>
                <w:szCs w:val="21"/>
              </w:rPr>
              <w:t>系统支持将日常化的服务与功能细粒度化后，通过H5界面集成到学校统一的微信服务平台（企业号、服务号等）或手机APP，实现移动化服务，不同角色有着不同的移动桌面和权限。</w:t>
            </w:r>
          </w:p>
          <w:p w14:paraId="376DB94D">
            <w:pPr>
              <w:spacing w:line="520" w:lineRule="exact"/>
              <w:rPr>
                <w:rFonts w:hint="eastAsia" w:ascii="宋体" w:hAnsi="宋体" w:cs="宋体"/>
                <w:bCs/>
                <w:sz w:val="21"/>
                <w:szCs w:val="21"/>
              </w:rPr>
            </w:pPr>
            <w:r>
              <w:rPr>
                <w:rFonts w:hint="eastAsia" w:ascii="宋体" w:hAnsi="宋体" w:cs="宋体"/>
                <w:bCs/>
                <w:sz w:val="21"/>
                <w:szCs w:val="21"/>
              </w:rPr>
              <w:t>12.1.教职工服务</w:t>
            </w:r>
          </w:p>
          <w:p w14:paraId="076A91C6">
            <w:pPr>
              <w:spacing w:line="520" w:lineRule="exact"/>
              <w:rPr>
                <w:rFonts w:hint="eastAsia" w:ascii="宋体" w:hAnsi="宋体" w:cs="宋体"/>
                <w:bCs/>
                <w:sz w:val="21"/>
                <w:szCs w:val="21"/>
              </w:rPr>
            </w:pPr>
            <w:r>
              <w:rPr>
                <w:rFonts w:hint="eastAsia" w:ascii="宋体" w:hAnsi="宋体" w:cs="宋体"/>
                <w:bCs/>
                <w:sz w:val="21"/>
                <w:szCs w:val="21"/>
              </w:rPr>
              <w:t>12.1.1.信息查询与修改</w:t>
            </w:r>
          </w:p>
          <w:p w14:paraId="1E671865">
            <w:pPr>
              <w:spacing w:line="520" w:lineRule="exact"/>
              <w:rPr>
                <w:rFonts w:hint="eastAsia" w:ascii="宋体" w:hAnsi="宋体" w:cs="宋体"/>
                <w:bCs/>
                <w:sz w:val="21"/>
                <w:szCs w:val="21"/>
              </w:rPr>
            </w:pPr>
            <w:r>
              <w:rPr>
                <w:rFonts w:hint="eastAsia" w:ascii="宋体" w:hAnsi="宋体" w:cs="宋体"/>
                <w:bCs/>
                <w:sz w:val="21"/>
                <w:szCs w:val="21"/>
              </w:rPr>
              <w:t>教职工可以查看自己的个人资料，包括基本信息、学习经历、工作经历、专业技术职务、岗位聘任、合同信息、年度考核信息等。教职工可以发起个人资料修改申请，二级单位及组织人事部审核后生效。</w:t>
            </w:r>
          </w:p>
          <w:p w14:paraId="741FAEC2">
            <w:pPr>
              <w:spacing w:line="520" w:lineRule="exact"/>
              <w:rPr>
                <w:rFonts w:hint="eastAsia" w:ascii="宋体" w:hAnsi="宋体" w:cs="宋体"/>
                <w:bCs/>
                <w:sz w:val="21"/>
                <w:szCs w:val="21"/>
              </w:rPr>
            </w:pPr>
            <w:r>
              <w:rPr>
                <w:rFonts w:hint="eastAsia" w:ascii="宋体" w:hAnsi="宋体" w:cs="宋体"/>
                <w:bCs/>
                <w:sz w:val="21"/>
                <w:szCs w:val="21"/>
              </w:rPr>
              <w:t>12.1.2.报到入职</w:t>
            </w:r>
          </w:p>
          <w:p w14:paraId="7E804108">
            <w:pPr>
              <w:spacing w:line="520" w:lineRule="exact"/>
              <w:rPr>
                <w:rFonts w:hint="eastAsia" w:ascii="宋体" w:hAnsi="宋体" w:cs="宋体"/>
                <w:bCs/>
                <w:sz w:val="21"/>
                <w:szCs w:val="21"/>
              </w:rPr>
            </w:pPr>
            <w:r>
              <w:rPr>
                <w:rFonts w:hint="eastAsia" w:ascii="宋体" w:hAnsi="宋体" w:cs="宋体"/>
                <w:bCs/>
                <w:sz w:val="21"/>
                <w:szCs w:val="21"/>
              </w:rPr>
              <w:t>新进教职工可以了解报到入职的办理事项，在线完善个人信息，并实时跟踪报到审核流程。</w:t>
            </w:r>
          </w:p>
          <w:p w14:paraId="194BDA27">
            <w:pPr>
              <w:spacing w:line="520" w:lineRule="exact"/>
              <w:rPr>
                <w:rFonts w:hint="eastAsia" w:ascii="宋体" w:hAnsi="宋体" w:cs="宋体"/>
                <w:bCs/>
                <w:sz w:val="21"/>
                <w:szCs w:val="21"/>
              </w:rPr>
            </w:pPr>
            <w:r>
              <w:rPr>
                <w:rFonts w:hint="eastAsia" w:ascii="宋体" w:hAnsi="宋体" w:cs="宋体"/>
                <w:bCs/>
                <w:sz w:val="21"/>
                <w:szCs w:val="21"/>
              </w:rPr>
              <w:t>12.1.3.试用期转正申请</w:t>
            </w:r>
          </w:p>
          <w:p w14:paraId="0DFCC298">
            <w:pPr>
              <w:spacing w:line="520" w:lineRule="exact"/>
              <w:rPr>
                <w:rFonts w:hint="eastAsia" w:ascii="宋体" w:hAnsi="宋体" w:cs="宋体"/>
                <w:bCs/>
                <w:sz w:val="21"/>
                <w:szCs w:val="21"/>
              </w:rPr>
            </w:pPr>
            <w:r>
              <w:rPr>
                <w:rFonts w:hint="eastAsia" w:ascii="宋体" w:hAnsi="宋体" w:cs="宋体"/>
                <w:bCs/>
                <w:sz w:val="21"/>
                <w:szCs w:val="21"/>
              </w:rPr>
              <w:t>教职工可以发起试用期转正申请，跟踪转正审核流程。</w:t>
            </w:r>
          </w:p>
          <w:p w14:paraId="34C1EC14">
            <w:pPr>
              <w:spacing w:line="520" w:lineRule="exact"/>
              <w:rPr>
                <w:rFonts w:hint="eastAsia" w:ascii="宋体" w:hAnsi="宋体" w:cs="宋体"/>
                <w:bCs/>
                <w:sz w:val="21"/>
                <w:szCs w:val="21"/>
              </w:rPr>
            </w:pPr>
            <w:r>
              <w:rPr>
                <w:rFonts w:hint="eastAsia" w:ascii="宋体" w:hAnsi="宋体" w:cs="宋体"/>
                <w:bCs/>
                <w:sz w:val="21"/>
                <w:szCs w:val="21"/>
              </w:rPr>
              <w:t>12.1.4.校内调动申请</w:t>
            </w:r>
          </w:p>
          <w:p w14:paraId="0E8A9136">
            <w:pPr>
              <w:spacing w:line="520" w:lineRule="exact"/>
              <w:rPr>
                <w:rFonts w:hint="eastAsia" w:ascii="宋体" w:hAnsi="宋体" w:cs="宋体"/>
                <w:bCs/>
                <w:sz w:val="21"/>
                <w:szCs w:val="21"/>
              </w:rPr>
            </w:pPr>
            <w:r>
              <w:rPr>
                <w:rFonts w:hint="eastAsia" w:ascii="宋体" w:hAnsi="宋体" w:cs="宋体"/>
                <w:bCs/>
                <w:sz w:val="21"/>
                <w:szCs w:val="21"/>
              </w:rPr>
              <w:t>教职工可以发起校内调动申请，跟踪调动审核流程。</w:t>
            </w:r>
          </w:p>
          <w:p w14:paraId="74F18534">
            <w:pPr>
              <w:spacing w:line="520" w:lineRule="exact"/>
              <w:rPr>
                <w:rFonts w:hint="eastAsia" w:ascii="宋体" w:hAnsi="宋体" w:cs="宋体"/>
                <w:bCs/>
                <w:sz w:val="21"/>
                <w:szCs w:val="21"/>
              </w:rPr>
            </w:pPr>
            <w:r>
              <w:rPr>
                <w:rFonts w:hint="eastAsia" w:ascii="宋体" w:hAnsi="宋体" w:cs="宋体"/>
                <w:bCs/>
                <w:sz w:val="21"/>
                <w:szCs w:val="21"/>
              </w:rPr>
              <w:t>12.1.5.离职申请</w:t>
            </w:r>
          </w:p>
          <w:p w14:paraId="70900BC2">
            <w:pPr>
              <w:spacing w:line="520" w:lineRule="exact"/>
              <w:rPr>
                <w:rFonts w:hint="eastAsia" w:ascii="宋体" w:hAnsi="宋体" w:cs="宋体"/>
                <w:bCs/>
                <w:sz w:val="21"/>
                <w:szCs w:val="21"/>
              </w:rPr>
            </w:pPr>
            <w:r>
              <w:rPr>
                <w:rFonts w:hint="eastAsia" w:ascii="宋体" w:hAnsi="宋体" w:cs="宋体"/>
                <w:bCs/>
                <w:sz w:val="21"/>
                <w:szCs w:val="21"/>
              </w:rPr>
              <w:t>教职工可以了解离职办理事项，发起离职申请，跟踪离职审核进度。</w:t>
            </w:r>
          </w:p>
          <w:p w14:paraId="611FF2A8">
            <w:pPr>
              <w:spacing w:line="520" w:lineRule="exact"/>
              <w:rPr>
                <w:rFonts w:hint="eastAsia" w:ascii="宋体" w:hAnsi="宋体" w:cs="宋体"/>
                <w:bCs/>
                <w:sz w:val="21"/>
                <w:szCs w:val="21"/>
              </w:rPr>
            </w:pPr>
            <w:r>
              <w:rPr>
                <w:rFonts w:hint="eastAsia" w:ascii="宋体" w:hAnsi="宋体" w:cs="宋体"/>
                <w:bCs/>
                <w:sz w:val="21"/>
                <w:szCs w:val="21"/>
              </w:rPr>
              <w:t>12.1.6.开具证明申请</w:t>
            </w:r>
          </w:p>
          <w:p w14:paraId="21AD0780">
            <w:pPr>
              <w:spacing w:line="520" w:lineRule="exact"/>
              <w:rPr>
                <w:rFonts w:hint="eastAsia" w:ascii="宋体" w:hAnsi="宋体" w:cs="宋体"/>
                <w:bCs/>
                <w:sz w:val="21"/>
                <w:szCs w:val="21"/>
              </w:rPr>
            </w:pPr>
            <w:r>
              <w:rPr>
                <w:rFonts w:hint="eastAsia" w:ascii="宋体" w:hAnsi="宋体" w:cs="宋体"/>
                <w:bCs/>
                <w:sz w:val="21"/>
                <w:szCs w:val="21"/>
              </w:rPr>
              <w:t>教职工通过移动端可了解可开具的证明及每个证明的开具流程、开具方式及注意事项等。教职工可填写开具证明的申请，包括用途、时间要求、证明份数等信息，提交后发起审批流程；可跟踪已发起申请的审批进度，并可查看历次申请记录并预览需开具证明的内容。</w:t>
            </w:r>
          </w:p>
          <w:p w14:paraId="060585A2">
            <w:pPr>
              <w:spacing w:line="520" w:lineRule="exact"/>
              <w:rPr>
                <w:rFonts w:hint="eastAsia" w:ascii="宋体" w:hAnsi="宋体" w:cs="宋体"/>
                <w:bCs/>
                <w:sz w:val="21"/>
                <w:szCs w:val="21"/>
              </w:rPr>
            </w:pPr>
            <w:r>
              <w:rPr>
                <w:rFonts w:hint="eastAsia" w:ascii="宋体" w:hAnsi="宋体" w:cs="宋体"/>
                <w:bCs/>
                <w:sz w:val="21"/>
                <w:szCs w:val="21"/>
              </w:rPr>
              <w:t>12.2.管理服务</w:t>
            </w:r>
          </w:p>
          <w:p w14:paraId="1CE439F2">
            <w:pPr>
              <w:spacing w:line="520" w:lineRule="exact"/>
              <w:rPr>
                <w:rFonts w:hint="eastAsia" w:ascii="宋体" w:hAnsi="宋体" w:cs="宋体"/>
                <w:bCs/>
                <w:sz w:val="21"/>
                <w:szCs w:val="21"/>
              </w:rPr>
            </w:pPr>
            <w:r>
              <w:rPr>
                <w:rFonts w:hint="eastAsia" w:ascii="宋体" w:hAnsi="宋体" w:cs="宋体"/>
                <w:bCs/>
                <w:sz w:val="21"/>
                <w:szCs w:val="21"/>
              </w:rPr>
              <w:t>12.2.1.信息查询</w:t>
            </w:r>
          </w:p>
          <w:p w14:paraId="7A8FC530">
            <w:pPr>
              <w:spacing w:line="520" w:lineRule="exact"/>
              <w:rPr>
                <w:rFonts w:hint="eastAsia" w:ascii="宋体" w:hAnsi="宋体" w:cs="宋体"/>
                <w:bCs/>
                <w:sz w:val="21"/>
                <w:szCs w:val="21"/>
              </w:rPr>
            </w:pPr>
            <w:r>
              <w:rPr>
                <w:rFonts w:hint="eastAsia" w:ascii="宋体" w:hAnsi="宋体" w:cs="宋体"/>
                <w:bCs/>
                <w:sz w:val="21"/>
                <w:szCs w:val="21"/>
              </w:rPr>
              <w:t>可通过姓名、工号、部门、人员类别、性别等字段查询职工信息；可查看职工详情，包括职工基本信息、学习经历、工作经历、家庭成员等；组织人事部可查看全部人员信息，各单位管理员可查询本单位人员。</w:t>
            </w:r>
          </w:p>
          <w:p w14:paraId="788CBF31">
            <w:pPr>
              <w:spacing w:line="520" w:lineRule="exact"/>
              <w:rPr>
                <w:rFonts w:hint="eastAsia" w:ascii="宋体" w:hAnsi="宋体" w:cs="宋体"/>
                <w:bCs/>
                <w:sz w:val="21"/>
                <w:szCs w:val="21"/>
              </w:rPr>
            </w:pPr>
            <w:r>
              <w:rPr>
                <w:rFonts w:hint="eastAsia" w:ascii="宋体" w:hAnsi="宋体" w:cs="宋体"/>
                <w:bCs/>
                <w:sz w:val="21"/>
                <w:szCs w:val="21"/>
              </w:rPr>
              <w:t>12.2.2.业务审批</w:t>
            </w:r>
          </w:p>
          <w:p w14:paraId="4A8FA546">
            <w:pPr>
              <w:spacing w:line="520" w:lineRule="exact"/>
              <w:rPr>
                <w:rFonts w:hint="eastAsia" w:ascii="宋体" w:hAnsi="宋体" w:cs="宋体"/>
                <w:bCs/>
                <w:sz w:val="21"/>
                <w:szCs w:val="21"/>
              </w:rPr>
            </w:pPr>
            <w:r>
              <w:rPr>
                <w:rFonts w:hint="eastAsia" w:ascii="宋体" w:hAnsi="宋体" w:cs="宋体"/>
                <w:bCs/>
                <w:sz w:val="21"/>
                <w:szCs w:val="21"/>
              </w:rPr>
              <w:t>教职工申请的各类业务如报到入职、试用期转正、校内调动、离职、开具证明等业务，二级单位和组织人事部管理人员可以查看当前需要审核审批的办理事项，并可逐一点击办理审批，办理审批时，支持手写签字。支持查看已办理事项列表，并可点击查看明细。</w:t>
            </w:r>
          </w:p>
          <w:p w14:paraId="03C44C9E">
            <w:pPr>
              <w:spacing w:line="520" w:lineRule="exact"/>
              <w:rPr>
                <w:rFonts w:hint="eastAsia" w:ascii="宋体" w:hAnsi="宋体" w:cs="宋体"/>
                <w:bCs/>
                <w:sz w:val="21"/>
                <w:szCs w:val="21"/>
              </w:rPr>
            </w:pPr>
            <w:r>
              <w:rPr>
                <w:rFonts w:hint="eastAsia" w:ascii="宋体" w:hAnsi="宋体" w:cs="宋体"/>
                <w:bCs/>
                <w:sz w:val="21"/>
                <w:szCs w:val="21"/>
              </w:rPr>
              <w:t>12.2.3.统计分析</w:t>
            </w:r>
          </w:p>
          <w:p w14:paraId="1CBC093D">
            <w:pPr>
              <w:spacing w:line="520" w:lineRule="exact"/>
              <w:rPr>
                <w:rFonts w:hint="eastAsia" w:ascii="宋体" w:hAnsi="宋体" w:cs="宋体"/>
                <w:bCs/>
                <w:sz w:val="21"/>
                <w:szCs w:val="21"/>
              </w:rPr>
            </w:pPr>
            <w:r>
              <w:rPr>
                <w:rFonts w:hint="eastAsia" w:ascii="宋体" w:hAnsi="宋体" w:cs="宋体"/>
                <w:bCs/>
                <w:sz w:val="21"/>
                <w:szCs w:val="21"/>
              </w:rPr>
              <w:t>可查看各类常用统计图表，包括人员整体结构、年龄分布情况、单位分布情况、学历结构、职称结构、人员异动等人员分析。</w:t>
            </w:r>
          </w:p>
          <w:p w14:paraId="74BB39B5">
            <w:pPr>
              <w:spacing w:line="520" w:lineRule="exact"/>
              <w:rPr>
                <w:rFonts w:hint="eastAsia" w:ascii="宋体" w:hAnsi="宋体" w:cs="宋体"/>
                <w:bCs/>
                <w:sz w:val="21"/>
                <w:szCs w:val="21"/>
              </w:rPr>
            </w:pPr>
            <w:r>
              <w:rPr>
                <w:rFonts w:hint="eastAsia" w:ascii="宋体" w:hAnsi="宋体" w:cs="宋体"/>
                <w:bCs/>
                <w:sz w:val="21"/>
                <w:szCs w:val="21"/>
              </w:rPr>
              <w:t>13.师资培养</w:t>
            </w:r>
          </w:p>
          <w:p w14:paraId="4DA1B8B5">
            <w:pPr>
              <w:spacing w:line="520" w:lineRule="exact"/>
              <w:rPr>
                <w:rFonts w:hint="eastAsia" w:ascii="宋体" w:hAnsi="宋体" w:cs="宋体"/>
                <w:bCs/>
                <w:sz w:val="21"/>
                <w:szCs w:val="21"/>
              </w:rPr>
            </w:pPr>
            <w:r>
              <w:rPr>
                <w:rFonts w:hint="eastAsia" w:ascii="宋体" w:hAnsi="宋体" w:cs="宋体"/>
                <w:bCs/>
                <w:sz w:val="21"/>
                <w:szCs w:val="21"/>
              </w:rPr>
              <w:t>师资培养是对教师培训、学历进修、出国/境管理、挂职锻炼、荣誉称号、学术兼职、教师资格证等业务的综合管理。</w:t>
            </w:r>
          </w:p>
          <w:p w14:paraId="5037DD95">
            <w:pPr>
              <w:spacing w:line="520" w:lineRule="exact"/>
              <w:rPr>
                <w:rFonts w:hint="eastAsia" w:ascii="宋体" w:hAnsi="宋体" w:cs="宋体"/>
                <w:bCs/>
                <w:sz w:val="21"/>
                <w:szCs w:val="21"/>
              </w:rPr>
            </w:pPr>
            <w:r>
              <w:rPr>
                <w:rFonts w:hint="eastAsia" w:ascii="宋体" w:hAnsi="宋体" w:cs="宋体"/>
                <w:bCs/>
                <w:sz w:val="21"/>
                <w:szCs w:val="21"/>
              </w:rPr>
              <w:t>13.1.教师培训</w:t>
            </w:r>
          </w:p>
          <w:p w14:paraId="0A3C7134">
            <w:pPr>
              <w:spacing w:line="520" w:lineRule="exact"/>
              <w:rPr>
                <w:rFonts w:hint="eastAsia" w:ascii="宋体" w:hAnsi="宋体" w:cs="宋体"/>
                <w:bCs/>
                <w:sz w:val="21"/>
                <w:szCs w:val="21"/>
              </w:rPr>
            </w:pPr>
            <w:r>
              <w:rPr>
                <w:rFonts w:hint="eastAsia" w:ascii="宋体" w:hAnsi="宋体" w:cs="宋体"/>
                <w:bCs/>
                <w:sz w:val="21"/>
                <w:szCs w:val="21"/>
              </w:rPr>
              <w:t>实现教师参加培训记录的登记和查询，可登记教师培训时间、获得学时等信息。可实现教师培训申请与审核流程管理。</w:t>
            </w:r>
          </w:p>
          <w:p w14:paraId="4BCF83B9">
            <w:pPr>
              <w:spacing w:line="520" w:lineRule="exact"/>
              <w:rPr>
                <w:rFonts w:hint="eastAsia" w:ascii="宋体" w:hAnsi="宋体" w:cs="宋体"/>
                <w:bCs/>
                <w:sz w:val="21"/>
                <w:szCs w:val="21"/>
              </w:rPr>
            </w:pPr>
            <w:r>
              <w:rPr>
                <w:rFonts w:hint="eastAsia" w:ascii="宋体" w:hAnsi="宋体" w:cs="宋体"/>
                <w:bCs/>
                <w:sz w:val="21"/>
                <w:szCs w:val="21"/>
              </w:rPr>
              <w:t>①个人申请：教职工个人进行培训申请，选择培训课程、培训时间、培训课时等信息，可在线打印培训申请表。</w:t>
            </w:r>
          </w:p>
          <w:p w14:paraId="72FD3402">
            <w:pPr>
              <w:spacing w:line="520" w:lineRule="exact"/>
              <w:rPr>
                <w:rFonts w:hint="eastAsia" w:ascii="宋体" w:hAnsi="宋体" w:cs="宋体"/>
                <w:bCs/>
                <w:sz w:val="21"/>
                <w:szCs w:val="21"/>
              </w:rPr>
            </w:pPr>
            <w:r>
              <w:rPr>
                <w:rFonts w:hint="eastAsia" w:ascii="宋体" w:hAnsi="宋体" w:cs="宋体"/>
                <w:bCs/>
                <w:sz w:val="21"/>
                <w:szCs w:val="21"/>
              </w:rPr>
              <w:t>②单位审核：单位可对教职工的培训申请进行审核。</w:t>
            </w:r>
          </w:p>
          <w:p w14:paraId="76C12ED4">
            <w:pPr>
              <w:spacing w:line="520" w:lineRule="exact"/>
              <w:rPr>
                <w:rFonts w:hint="eastAsia" w:ascii="宋体" w:hAnsi="宋体" w:cs="宋体"/>
                <w:bCs/>
                <w:sz w:val="21"/>
                <w:szCs w:val="21"/>
              </w:rPr>
            </w:pPr>
            <w:r>
              <w:rPr>
                <w:rFonts w:hint="eastAsia" w:ascii="宋体" w:hAnsi="宋体" w:cs="宋体"/>
                <w:bCs/>
                <w:sz w:val="21"/>
                <w:szCs w:val="21"/>
              </w:rPr>
              <w:t>③组织人事部审核：组织人事部可对教职工的培训申请进行审核。</w:t>
            </w:r>
          </w:p>
          <w:p w14:paraId="6C2E6FD4">
            <w:pPr>
              <w:spacing w:line="520" w:lineRule="exact"/>
              <w:rPr>
                <w:rFonts w:hint="eastAsia" w:ascii="宋体" w:hAnsi="宋体" w:cs="宋体"/>
                <w:bCs/>
                <w:sz w:val="21"/>
                <w:szCs w:val="21"/>
              </w:rPr>
            </w:pPr>
            <w:r>
              <w:rPr>
                <w:rFonts w:hint="eastAsia" w:ascii="宋体" w:hAnsi="宋体" w:cs="宋体"/>
                <w:bCs/>
                <w:sz w:val="21"/>
                <w:szCs w:val="21"/>
              </w:rPr>
              <w:t>④培训记录：培训完成，教师可完善培训信息，上传培训证书附件。通过系统可以统计培训学时，查看培训记录。</w:t>
            </w:r>
          </w:p>
          <w:p w14:paraId="4C84F8BF">
            <w:pPr>
              <w:spacing w:line="520" w:lineRule="exact"/>
              <w:rPr>
                <w:rFonts w:hint="eastAsia" w:ascii="宋体" w:hAnsi="宋体" w:cs="宋体"/>
                <w:bCs/>
                <w:sz w:val="21"/>
                <w:szCs w:val="21"/>
              </w:rPr>
            </w:pPr>
            <w:r>
              <w:rPr>
                <w:rFonts w:hint="eastAsia" w:ascii="宋体" w:hAnsi="宋体" w:cs="宋体"/>
                <w:bCs/>
                <w:sz w:val="21"/>
                <w:szCs w:val="21"/>
              </w:rPr>
              <w:t>13.2.学历进修</w:t>
            </w:r>
          </w:p>
          <w:p w14:paraId="2447A469">
            <w:pPr>
              <w:spacing w:line="520" w:lineRule="exact"/>
              <w:rPr>
                <w:rFonts w:hint="eastAsia" w:ascii="宋体" w:hAnsi="宋体" w:cs="宋体"/>
                <w:bCs/>
                <w:sz w:val="21"/>
                <w:szCs w:val="21"/>
              </w:rPr>
            </w:pPr>
            <w:r>
              <w:rPr>
                <w:rFonts w:hint="eastAsia" w:ascii="宋体" w:hAnsi="宋体" w:cs="宋体"/>
                <w:bCs/>
                <w:sz w:val="21"/>
                <w:szCs w:val="21"/>
              </w:rPr>
              <w:t>支持教职工学历进修的申请、审核审批业务的流程化办理。</w:t>
            </w:r>
          </w:p>
          <w:p w14:paraId="6B7B0EA2">
            <w:pPr>
              <w:spacing w:line="520" w:lineRule="exact"/>
              <w:rPr>
                <w:rFonts w:hint="eastAsia" w:ascii="宋体" w:hAnsi="宋体" w:cs="宋体"/>
                <w:bCs/>
                <w:sz w:val="21"/>
                <w:szCs w:val="21"/>
              </w:rPr>
            </w:pPr>
            <w:r>
              <w:rPr>
                <w:rFonts w:hint="eastAsia" w:ascii="宋体" w:hAnsi="宋体" w:cs="宋体"/>
                <w:bCs/>
                <w:sz w:val="21"/>
                <w:szCs w:val="21"/>
              </w:rPr>
              <w:t>①个人申请：个人进行在职学历进修的申请，填写起始时间、学习方式、进修单位、进修专业、获得学历、获得学位、预报销费用等信息，可在线打印申请表。</w:t>
            </w:r>
          </w:p>
          <w:p w14:paraId="6AED496C">
            <w:pPr>
              <w:spacing w:line="520" w:lineRule="exact"/>
              <w:rPr>
                <w:rFonts w:hint="eastAsia" w:ascii="宋体" w:hAnsi="宋体" w:cs="宋体"/>
                <w:bCs/>
                <w:sz w:val="21"/>
                <w:szCs w:val="21"/>
              </w:rPr>
            </w:pPr>
            <w:r>
              <w:rPr>
                <w:rFonts w:hint="eastAsia" w:ascii="宋体" w:hAnsi="宋体" w:cs="宋体"/>
                <w:bCs/>
                <w:sz w:val="21"/>
                <w:szCs w:val="21"/>
              </w:rPr>
              <w:t>②单位审核：单位可对教职工的在职学历申请进行审核。</w:t>
            </w:r>
          </w:p>
          <w:p w14:paraId="2C2695B8">
            <w:pPr>
              <w:spacing w:line="520" w:lineRule="exact"/>
              <w:rPr>
                <w:rFonts w:hint="eastAsia" w:ascii="宋体" w:hAnsi="宋体" w:cs="宋体"/>
                <w:bCs/>
                <w:sz w:val="21"/>
                <w:szCs w:val="21"/>
              </w:rPr>
            </w:pPr>
            <w:r>
              <w:rPr>
                <w:rFonts w:hint="eastAsia" w:ascii="宋体" w:hAnsi="宋体" w:cs="宋体"/>
                <w:bCs/>
                <w:sz w:val="21"/>
                <w:szCs w:val="21"/>
              </w:rPr>
              <w:t>③组织人事部审核：组织人事部可对教职工的在职学历申请进行审核。</w:t>
            </w:r>
          </w:p>
          <w:p w14:paraId="5F4A7375">
            <w:pPr>
              <w:spacing w:line="520" w:lineRule="exact"/>
              <w:rPr>
                <w:rFonts w:hint="eastAsia" w:ascii="宋体" w:hAnsi="宋体" w:cs="宋体"/>
                <w:bCs/>
                <w:sz w:val="21"/>
                <w:szCs w:val="21"/>
              </w:rPr>
            </w:pPr>
            <w:r>
              <w:rPr>
                <w:rFonts w:hint="eastAsia" w:ascii="宋体" w:hAnsi="宋体" w:cs="宋体"/>
                <w:bCs/>
                <w:sz w:val="21"/>
                <w:szCs w:val="21"/>
              </w:rPr>
              <w:t>④合同管理：审核通过后，签订合同，支持上传合同附件。</w:t>
            </w:r>
          </w:p>
          <w:p w14:paraId="463C3183">
            <w:pPr>
              <w:spacing w:line="520" w:lineRule="exact"/>
              <w:rPr>
                <w:rFonts w:hint="eastAsia" w:ascii="宋体" w:hAnsi="宋体" w:cs="宋体"/>
                <w:bCs/>
                <w:sz w:val="21"/>
                <w:szCs w:val="21"/>
              </w:rPr>
            </w:pPr>
            <w:r>
              <w:rPr>
                <w:rFonts w:hint="eastAsia" w:ascii="宋体" w:hAnsi="宋体" w:cs="宋体"/>
                <w:bCs/>
                <w:sz w:val="21"/>
                <w:szCs w:val="21"/>
              </w:rPr>
              <w:t>⑤进修结果：在职学历进修完成，教职工可完善学历进修信息，上传证书附件、报销单等附件材料。</w:t>
            </w:r>
          </w:p>
          <w:p w14:paraId="0E44388C">
            <w:pPr>
              <w:spacing w:line="520" w:lineRule="exact"/>
              <w:rPr>
                <w:rFonts w:hint="eastAsia" w:ascii="宋体" w:hAnsi="宋体" w:cs="宋体"/>
                <w:bCs/>
                <w:sz w:val="21"/>
                <w:szCs w:val="21"/>
              </w:rPr>
            </w:pPr>
            <w:r>
              <w:rPr>
                <w:rFonts w:hint="eastAsia" w:ascii="宋体" w:hAnsi="宋体" w:cs="宋体"/>
                <w:bCs/>
                <w:sz w:val="21"/>
                <w:szCs w:val="21"/>
              </w:rPr>
              <w:t>13.3.挂职锻炼</w:t>
            </w:r>
          </w:p>
          <w:p w14:paraId="6A3A110C">
            <w:pPr>
              <w:spacing w:line="520" w:lineRule="exact"/>
              <w:rPr>
                <w:rFonts w:hint="eastAsia" w:ascii="宋体" w:hAnsi="宋体" w:cs="宋体"/>
                <w:bCs/>
                <w:sz w:val="21"/>
                <w:szCs w:val="21"/>
              </w:rPr>
            </w:pPr>
            <w:r>
              <w:rPr>
                <w:rFonts w:hint="eastAsia" w:ascii="宋体" w:hAnsi="宋体" w:cs="宋体"/>
                <w:bCs/>
                <w:sz w:val="21"/>
                <w:szCs w:val="21"/>
              </w:rPr>
              <w:t>支持对教职工挂职锻炼信息的登记，包括挂职锻炼项目、挂职单位基本信息、实践形式、实践时间、实践地点、锻炼岗位等，可批量挂职锻炼信息。</w:t>
            </w:r>
          </w:p>
          <w:p w14:paraId="50ACF06B">
            <w:pPr>
              <w:spacing w:line="520" w:lineRule="exact"/>
              <w:rPr>
                <w:rFonts w:hint="eastAsia" w:ascii="宋体" w:hAnsi="宋体" w:cs="宋体"/>
                <w:bCs/>
                <w:sz w:val="21"/>
                <w:szCs w:val="21"/>
              </w:rPr>
            </w:pPr>
            <w:r>
              <w:rPr>
                <w:rFonts w:hint="eastAsia" w:ascii="宋体" w:hAnsi="宋体" w:cs="宋体"/>
                <w:bCs/>
                <w:sz w:val="21"/>
                <w:szCs w:val="21"/>
              </w:rPr>
              <w:t>13.4.荣誉称号</w:t>
            </w:r>
          </w:p>
          <w:p w14:paraId="15902AC4">
            <w:pPr>
              <w:spacing w:line="520" w:lineRule="exact"/>
              <w:rPr>
                <w:rFonts w:hint="eastAsia" w:ascii="宋体" w:hAnsi="宋体" w:cs="宋体"/>
                <w:bCs/>
                <w:sz w:val="21"/>
                <w:szCs w:val="21"/>
              </w:rPr>
            </w:pPr>
            <w:r>
              <w:rPr>
                <w:rFonts w:hint="eastAsia" w:ascii="宋体" w:hAnsi="宋体" w:cs="宋体"/>
                <w:bCs/>
                <w:sz w:val="21"/>
                <w:szCs w:val="21"/>
              </w:rPr>
              <w:t>对教职工获得的各项荣誉称号在系统中进行登记和管理，包括荣誉称号、获得时间、本校聘任时间等。支持批量导入、导出荣誉称号信息。</w:t>
            </w:r>
          </w:p>
          <w:p w14:paraId="56C55846">
            <w:pPr>
              <w:spacing w:line="520" w:lineRule="exact"/>
              <w:rPr>
                <w:rFonts w:hint="eastAsia" w:ascii="宋体" w:hAnsi="宋体" w:cs="宋体"/>
                <w:bCs/>
                <w:sz w:val="21"/>
                <w:szCs w:val="21"/>
              </w:rPr>
            </w:pPr>
            <w:r>
              <w:rPr>
                <w:rFonts w:hint="eastAsia" w:ascii="宋体" w:hAnsi="宋体" w:cs="宋体"/>
                <w:bCs/>
                <w:sz w:val="21"/>
                <w:szCs w:val="21"/>
              </w:rPr>
              <w:t>13.5.学术与社会兼职</w:t>
            </w:r>
          </w:p>
          <w:p w14:paraId="6BD862AC">
            <w:pPr>
              <w:spacing w:line="520" w:lineRule="exact"/>
              <w:rPr>
                <w:rFonts w:hint="eastAsia" w:ascii="宋体" w:hAnsi="宋体" w:cs="宋体"/>
                <w:bCs/>
                <w:sz w:val="21"/>
                <w:szCs w:val="21"/>
              </w:rPr>
            </w:pPr>
            <w:r>
              <w:rPr>
                <w:rFonts w:hint="eastAsia" w:ascii="宋体" w:hAnsi="宋体" w:cs="宋体"/>
                <w:bCs/>
                <w:sz w:val="21"/>
                <w:szCs w:val="21"/>
              </w:rPr>
              <w:t>系统支持对教职工学术与社会兼职情况的登记和管理，包括兼职类别、学术团体/社会机构、担任职务、考试时间、结束时间等。支持批量导入、导出学术与社会兼职信息。</w:t>
            </w:r>
          </w:p>
          <w:p w14:paraId="674E5A3E">
            <w:pPr>
              <w:spacing w:line="520" w:lineRule="exact"/>
              <w:rPr>
                <w:rFonts w:hint="eastAsia" w:ascii="宋体" w:hAnsi="宋体" w:cs="宋体"/>
                <w:bCs/>
                <w:sz w:val="21"/>
                <w:szCs w:val="21"/>
              </w:rPr>
            </w:pPr>
            <w:r>
              <w:rPr>
                <w:rFonts w:hint="eastAsia" w:ascii="宋体" w:hAnsi="宋体" w:cs="宋体"/>
                <w:bCs/>
                <w:sz w:val="21"/>
                <w:szCs w:val="21"/>
              </w:rPr>
              <w:t>13.6.教师资格证</w:t>
            </w:r>
          </w:p>
          <w:p w14:paraId="43E8DCCE">
            <w:pPr>
              <w:spacing w:line="520" w:lineRule="exact"/>
              <w:rPr>
                <w:rFonts w:hint="eastAsia" w:ascii="宋体" w:hAnsi="宋体" w:cs="宋体"/>
                <w:bCs/>
                <w:sz w:val="21"/>
                <w:szCs w:val="21"/>
              </w:rPr>
            </w:pPr>
            <w:r>
              <w:rPr>
                <w:rFonts w:hint="eastAsia" w:ascii="宋体" w:hAnsi="宋体" w:cs="宋体"/>
                <w:bCs/>
                <w:sz w:val="21"/>
                <w:szCs w:val="21"/>
              </w:rPr>
              <w:t>13.6.1.申报教师资格证</w:t>
            </w:r>
          </w:p>
          <w:p w14:paraId="576BB455">
            <w:pPr>
              <w:spacing w:line="520" w:lineRule="exact"/>
              <w:rPr>
                <w:rFonts w:hint="eastAsia" w:ascii="宋体" w:hAnsi="宋体" w:cs="宋体"/>
                <w:bCs/>
                <w:sz w:val="21"/>
                <w:szCs w:val="21"/>
              </w:rPr>
            </w:pPr>
            <w:r>
              <w:rPr>
                <w:rFonts w:hint="eastAsia" w:ascii="宋体" w:hAnsi="宋体" w:cs="宋体"/>
                <w:bCs/>
                <w:sz w:val="21"/>
                <w:szCs w:val="21"/>
              </w:rPr>
              <w:t>支持教职工申报教师资格证提交相关材料，二级单位及组织人事部审核材料的流程化办理。</w:t>
            </w:r>
          </w:p>
          <w:p w14:paraId="59F2177D">
            <w:pPr>
              <w:spacing w:line="520" w:lineRule="exact"/>
              <w:rPr>
                <w:rFonts w:hint="eastAsia" w:ascii="宋体" w:hAnsi="宋体" w:cs="宋体"/>
                <w:bCs/>
                <w:sz w:val="21"/>
                <w:szCs w:val="21"/>
              </w:rPr>
            </w:pPr>
            <w:r>
              <w:rPr>
                <w:rFonts w:hint="eastAsia" w:ascii="宋体" w:hAnsi="宋体" w:cs="宋体"/>
                <w:bCs/>
                <w:sz w:val="21"/>
                <w:szCs w:val="21"/>
              </w:rPr>
              <w:t>13.6.2.对教职工获取教师资格证信息进行登记和管理，包括证书编号、认定日期、认定机构等。支持批量导入、导出教师资格证信息。</w:t>
            </w:r>
          </w:p>
          <w:p w14:paraId="377C04DB">
            <w:pPr>
              <w:spacing w:line="520" w:lineRule="exact"/>
              <w:rPr>
                <w:rFonts w:hint="eastAsia" w:ascii="宋体" w:hAnsi="宋体" w:cs="宋体"/>
                <w:bCs/>
                <w:sz w:val="21"/>
                <w:szCs w:val="21"/>
              </w:rPr>
            </w:pPr>
            <w:r>
              <w:rPr>
                <w:rFonts w:hint="eastAsia" w:ascii="宋体" w:hAnsi="宋体" w:cs="宋体"/>
                <w:bCs/>
                <w:sz w:val="21"/>
                <w:szCs w:val="21"/>
              </w:rPr>
              <w:t>14.岗位聘任</w:t>
            </w:r>
          </w:p>
          <w:p w14:paraId="2BD3155C">
            <w:pPr>
              <w:spacing w:line="520" w:lineRule="exact"/>
              <w:rPr>
                <w:rFonts w:hint="eastAsia" w:ascii="宋体" w:hAnsi="宋体" w:cs="宋体"/>
                <w:bCs/>
                <w:sz w:val="21"/>
                <w:szCs w:val="21"/>
              </w:rPr>
            </w:pPr>
            <w:r>
              <w:rPr>
                <w:rFonts w:hint="eastAsia" w:ascii="宋体" w:hAnsi="宋体" w:cs="宋体"/>
                <w:bCs/>
                <w:sz w:val="21"/>
                <w:szCs w:val="21"/>
              </w:rPr>
              <w:t>岗位聘任是对岗位分级、职员晋升等业务的综合管理。通过系统可对岗位聘任的全过程进行流程化管理，包括个人申报、资格审查、材料审核、聘委会评议、公示等环节。</w:t>
            </w:r>
          </w:p>
          <w:p w14:paraId="5BE72F0E">
            <w:pPr>
              <w:spacing w:line="520" w:lineRule="exact"/>
              <w:rPr>
                <w:rFonts w:hint="eastAsia" w:ascii="宋体" w:hAnsi="宋体" w:cs="宋体"/>
                <w:bCs/>
                <w:sz w:val="21"/>
                <w:szCs w:val="21"/>
              </w:rPr>
            </w:pPr>
            <w:r>
              <w:rPr>
                <w:rFonts w:hint="eastAsia" w:ascii="宋体" w:hAnsi="宋体" w:cs="宋体"/>
                <w:bCs/>
                <w:sz w:val="21"/>
                <w:szCs w:val="21"/>
              </w:rPr>
              <w:t>14.1.聘任项目</w:t>
            </w:r>
          </w:p>
          <w:p w14:paraId="4F05149C">
            <w:pPr>
              <w:spacing w:line="520" w:lineRule="exact"/>
              <w:rPr>
                <w:rFonts w:hint="eastAsia" w:ascii="宋体" w:hAnsi="宋体" w:cs="宋体"/>
                <w:bCs/>
                <w:sz w:val="21"/>
                <w:szCs w:val="21"/>
              </w:rPr>
            </w:pPr>
            <w:r>
              <w:rPr>
                <w:rFonts w:hint="eastAsia" w:ascii="宋体" w:hAnsi="宋体" w:cs="宋体"/>
                <w:bCs/>
                <w:sz w:val="21"/>
                <w:szCs w:val="21"/>
              </w:rPr>
              <w:t>学校岗位聘任工作按项目启动，可灵活设置项目状态，包括未启动、申报中、审核中、已结束四个状态。</w:t>
            </w:r>
          </w:p>
          <w:p w14:paraId="10F48D6D">
            <w:pPr>
              <w:spacing w:line="520" w:lineRule="exact"/>
              <w:rPr>
                <w:rFonts w:hint="eastAsia" w:ascii="宋体" w:hAnsi="宋体" w:cs="宋体"/>
                <w:bCs/>
                <w:sz w:val="21"/>
                <w:szCs w:val="21"/>
              </w:rPr>
            </w:pPr>
            <w:r>
              <w:rPr>
                <w:rFonts w:hint="eastAsia" w:ascii="宋体" w:hAnsi="宋体" w:cs="宋体"/>
                <w:bCs/>
                <w:sz w:val="21"/>
                <w:szCs w:val="21"/>
              </w:rPr>
              <w:t>①建立聘任项目：创建岗位聘任项目，确认聘任系列，设置年度、起始时间等。</w:t>
            </w:r>
          </w:p>
          <w:p w14:paraId="10E23F87">
            <w:pPr>
              <w:spacing w:line="520" w:lineRule="exact"/>
              <w:rPr>
                <w:rFonts w:hint="eastAsia" w:ascii="宋体" w:hAnsi="宋体" w:cs="宋体"/>
                <w:bCs/>
                <w:sz w:val="21"/>
                <w:szCs w:val="21"/>
              </w:rPr>
            </w:pPr>
            <w:r>
              <w:rPr>
                <w:rFonts w:hint="eastAsia" w:ascii="宋体" w:hAnsi="宋体" w:cs="宋体"/>
                <w:bCs/>
                <w:sz w:val="21"/>
                <w:szCs w:val="21"/>
              </w:rPr>
              <w:t>②申报须知设置：支持设置申报须知内容，并支持附件上传，申报人在申报时即可签订相关承诺书。</w:t>
            </w:r>
          </w:p>
          <w:p w14:paraId="52ABE8F8">
            <w:pPr>
              <w:spacing w:line="520" w:lineRule="exact"/>
              <w:rPr>
                <w:rFonts w:hint="eastAsia" w:ascii="宋体" w:hAnsi="宋体" w:cs="宋体"/>
                <w:bCs/>
                <w:sz w:val="21"/>
                <w:szCs w:val="21"/>
              </w:rPr>
            </w:pPr>
            <w:r>
              <w:rPr>
                <w:rFonts w:hint="eastAsia" w:ascii="宋体" w:hAnsi="宋体" w:cs="宋体"/>
                <w:bCs/>
                <w:sz w:val="21"/>
                <w:szCs w:val="21"/>
              </w:rPr>
              <w:t>③岗位设置：支持设置此次可申报的岗位信息，包括所属单位、岗位级别、学科方向等。</w:t>
            </w:r>
          </w:p>
          <w:p w14:paraId="28156483">
            <w:pPr>
              <w:spacing w:line="520" w:lineRule="exact"/>
              <w:rPr>
                <w:rFonts w:hint="eastAsia" w:ascii="宋体" w:hAnsi="宋体" w:cs="宋体"/>
                <w:bCs/>
                <w:sz w:val="21"/>
                <w:szCs w:val="21"/>
              </w:rPr>
            </w:pPr>
            <w:r>
              <w:rPr>
                <w:rFonts w:hint="eastAsia" w:ascii="宋体" w:hAnsi="宋体" w:cs="宋体"/>
                <w:bCs/>
                <w:sz w:val="21"/>
                <w:szCs w:val="21"/>
              </w:rPr>
              <w:t>14.2.聘任申报</w:t>
            </w:r>
          </w:p>
          <w:p w14:paraId="57BDB713">
            <w:pPr>
              <w:spacing w:line="520" w:lineRule="exact"/>
              <w:rPr>
                <w:rFonts w:hint="eastAsia" w:ascii="宋体" w:hAnsi="宋体" w:cs="宋体"/>
                <w:bCs/>
                <w:sz w:val="21"/>
                <w:szCs w:val="21"/>
              </w:rPr>
            </w:pPr>
            <w:r>
              <w:rPr>
                <w:rFonts w:hint="eastAsia" w:ascii="宋体" w:hAnsi="宋体" w:cs="宋体"/>
                <w:bCs/>
                <w:sz w:val="21"/>
                <w:szCs w:val="21"/>
              </w:rPr>
              <w:t>教职工在线申请岗位，填写岗位申请表，并在线提交和打印申请表。</w:t>
            </w:r>
          </w:p>
          <w:p w14:paraId="24254AAA">
            <w:pPr>
              <w:spacing w:line="520" w:lineRule="exact"/>
              <w:rPr>
                <w:rFonts w:hint="eastAsia" w:ascii="宋体" w:hAnsi="宋体" w:cs="宋体"/>
                <w:bCs/>
                <w:sz w:val="21"/>
                <w:szCs w:val="21"/>
              </w:rPr>
            </w:pPr>
            <w:r>
              <w:rPr>
                <w:rFonts w:hint="eastAsia" w:ascii="宋体" w:hAnsi="宋体" w:cs="宋体"/>
                <w:bCs/>
                <w:sz w:val="21"/>
                <w:szCs w:val="21"/>
              </w:rPr>
              <w:t>①自动获取数据：系统支持对接公共数据中心，个人申报时教学、科研等业绩数据可自动获取，也可手动获取。当各个业务系统数据有变更时，个人可以重获数据。同步过来的数据不能在系统中修改，若需要修改，需回到数据源头进行修改，系统再将修改后的数据同步过来。</w:t>
            </w:r>
          </w:p>
          <w:p w14:paraId="45AE31C7">
            <w:pPr>
              <w:spacing w:line="520" w:lineRule="exact"/>
              <w:rPr>
                <w:rFonts w:hint="eastAsia" w:ascii="宋体" w:hAnsi="宋体" w:cs="宋体"/>
                <w:bCs/>
                <w:sz w:val="21"/>
                <w:szCs w:val="21"/>
              </w:rPr>
            </w:pPr>
            <w:r>
              <w:rPr>
                <w:rFonts w:hint="eastAsia" w:ascii="宋体" w:hAnsi="宋体" w:cs="宋体"/>
                <w:bCs/>
                <w:sz w:val="21"/>
                <w:szCs w:val="21"/>
              </w:rPr>
              <w:t>②手动填报：除了系统自动获取数据，也支持手动填报基本信息+业绩子集数据，手动填报的数据可以在系统中修改。</w:t>
            </w:r>
          </w:p>
          <w:p w14:paraId="46B866D9">
            <w:pPr>
              <w:spacing w:line="520" w:lineRule="exact"/>
              <w:rPr>
                <w:rFonts w:hint="eastAsia" w:ascii="宋体" w:hAnsi="宋体" w:cs="宋体"/>
                <w:bCs/>
                <w:sz w:val="21"/>
                <w:szCs w:val="21"/>
              </w:rPr>
            </w:pPr>
            <w:r>
              <w:rPr>
                <w:rFonts w:hint="eastAsia" w:ascii="宋体" w:hAnsi="宋体" w:cs="宋体"/>
                <w:bCs/>
                <w:sz w:val="21"/>
                <w:szCs w:val="21"/>
              </w:rPr>
              <w:t>③提交材料及打印：教职工可以查看个人申报材料信息以及自动生成及打印个人申报表。</w:t>
            </w:r>
          </w:p>
          <w:p w14:paraId="2B4E7E95">
            <w:pPr>
              <w:spacing w:line="520" w:lineRule="exact"/>
              <w:rPr>
                <w:rFonts w:hint="eastAsia" w:ascii="宋体" w:hAnsi="宋体" w:cs="宋体"/>
                <w:bCs/>
                <w:sz w:val="21"/>
                <w:szCs w:val="21"/>
              </w:rPr>
            </w:pPr>
            <w:r>
              <w:rPr>
                <w:rFonts w:hint="eastAsia" w:ascii="宋体" w:hAnsi="宋体" w:cs="宋体"/>
                <w:bCs/>
                <w:sz w:val="21"/>
                <w:szCs w:val="21"/>
              </w:rPr>
              <w:t>④申报进度查询：可以实时查询本人的申报进度，支持以可视化的流程图展示申报进度。</w:t>
            </w:r>
          </w:p>
          <w:p w14:paraId="7D5AD53E">
            <w:pPr>
              <w:spacing w:line="520" w:lineRule="exact"/>
              <w:rPr>
                <w:rFonts w:hint="eastAsia" w:ascii="宋体" w:hAnsi="宋体" w:cs="宋体"/>
                <w:bCs/>
                <w:sz w:val="21"/>
                <w:szCs w:val="21"/>
              </w:rPr>
            </w:pPr>
            <w:r>
              <w:rPr>
                <w:rFonts w:hint="eastAsia" w:ascii="宋体" w:hAnsi="宋体" w:cs="宋体"/>
                <w:bCs/>
                <w:sz w:val="21"/>
                <w:szCs w:val="21"/>
              </w:rPr>
              <w:t>14.3.单位审核</w:t>
            </w:r>
          </w:p>
          <w:p w14:paraId="20B3B7CB">
            <w:pPr>
              <w:spacing w:line="520" w:lineRule="exact"/>
              <w:rPr>
                <w:rFonts w:hint="eastAsia" w:ascii="宋体" w:hAnsi="宋体" w:cs="宋体"/>
                <w:bCs/>
                <w:sz w:val="21"/>
                <w:szCs w:val="21"/>
              </w:rPr>
            </w:pPr>
            <w:r>
              <w:rPr>
                <w:rFonts w:hint="eastAsia" w:ascii="宋体" w:hAnsi="宋体" w:cs="宋体"/>
                <w:bCs/>
                <w:sz w:val="21"/>
                <w:szCs w:val="21"/>
              </w:rPr>
              <w:t>教职工提交申报后，二级单位进行资格与材料审查，材料审核时可以单个材料审核，也可以批量审核，不符合要求的材料可以退回修改。审核通过后可以在线填写审核意见。二级单位可以预览、下载及打印申报表、一览表。</w:t>
            </w:r>
          </w:p>
          <w:p w14:paraId="299E9B6C">
            <w:pPr>
              <w:spacing w:line="520" w:lineRule="exact"/>
              <w:rPr>
                <w:rFonts w:hint="eastAsia" w:ascii="宋体" w:hAnsi="宋体" w:cs="宋体"/>
                <w:bCs/>
                <w:sz w:val="21"/>
                <w:szCs w:val="21"/>
              </w:rPr>
            </w:pPr>
            <w:r>
              <w:rPr>
                <w:rFonts w:hint="eastAsia" w:ascii="宋体" w:hAnsi="宋体" w:cs="宋体"/>
                <w:bCs/>
                <w:sz w:val="21"/>
                <w:szCs w:val="21"/>
              </w:rPr>
              <w:t>14.4.材料审查</w:t>
            </w:r>
          </w:p>
          <w:p w14:paraId="44BD4C4F">
            <w:pPr>
              <w:spacing w:line="520" w:lineRule="exact"/>
              <w:rPr>
                <w:rFonts w:hint="eastAsia" w:ascii="宋体" w:hAnsi="宋体" w:cs="宋体"/>
                <w:bCs/>
                <w:sz w:val="21"/>
                <w:szCs w:val="21"/>
              </w:rPr>
            </w:pPr>
            <w:r>
              <w:rPr>
                <w:rFonts w:hint="eastAsia" w:ascii="宋体" w:hAnsi="宋体" w:cs="宋体"/>
                <w:bCs/>
                <w:sz w:val="21"/>
                <w:szCs w:val="21"/>
              </w:rPr>
              <w:t>相关业务部门可同时审核申报人员的材料，各业务部门只看/只审核相关业绩材料，材料有问题时可退回修改，可以整体退回，也可指定某条记录退回。</w:t>
            </w:r>
          </w:p>
          <w:p w14:paraId="2D2556E1">
            <w:pPr>
              <w:spacing w:line="520" w:lineRule="exact"/>
              <w:rPr>
                <w:rFonts w:hint="eastAsia" w:ascii="宋体" w:hAnsi="宋体" w:cs="宋体"/>
                <w:bCs/>
                <w:sz w:val="21"/>
                <w:szCs w:val="21"/>
              </w:rPr>
            </w:pPr>
            <w:r>
              <w:rPr>
                <w:rFonts w:hint="eastAsia" w:ascii="宋体" w:hAnsi="宋体" w:cs="宋体"/>
                <w:bCs/>
                <w:sz w:val="21"/>
                <w:szCs w:val="21"/>
              </w:rPr>
              <w:t>14.5.聘委会评议</w:t>
            </w:r>
          </w:p>
          <w:p w14:paraId="0C82C9F6">
            <w:pPr>
              <w:spacing w:line="520" w:lineRule="exact"/>
              <w:rPr>
                <w:rFonts w:hint="eastAsia" w:ascii="宋体" w:hAnsi="宋体" w:cs="宋体"/>
                <w:bCs/>
                <w:sz w:val="21"/>
                <w:szCs w:val="21"/>
              </w:rPr>
            </w:pPr>
            <w:r>
              <w:rPr>
                <w:rFonts w:hint="eastAsia" w:ascii="宋体" w:hAnsi="宋体" w:cs="宋体"/>
                <w:bCs/>
                <w:sz w:val="21"/>
                <w:szCs w:val="21"/>
              </w:rPr>
              <w:t>系统支持对聘委会评议结果进行登记，包括投票表决结果信息的登记，支持批量维护评议结果。</w:t>
            </w:r>
          </w:p>
          <w:p w14:paraId="108A9C24">
            <w:pPr>
              <w:spacing w:line="520" w:lineRule="exact"/>
              <w:rPr>
                <w:rFonts w:hint="eastAsia" w:ascii="宋体" w:hAnsi="宋体" w:cs="宋体"/>
                <w:bCs/>
                <w:sz w:val="21"/>
                <w:szCs w:val="21"/>
              </w:rPr>
            </w:pPr>
            <w:r>
              <w:rPr>
                <w:rFonts w:hint="eastAsia" w:ascii="宋体" w:hAnsi="宋体" w:cs="宋体"/>
                <w:bCs/>
                <w:sz w:val="21"/>
                <w:szCs w:val="21"/>
              </w:rPr>
              <w:t>14.6.公示管理</w:t>
            </w:r>
          </w:p>
          <w:p w14:paraId="3094C647">
            <w:pPr>
              <w:spacing w:line="520" w:lineRule="exact"/>
              <w:rPr>
                <w:rFonts w:hint="eastAsia" w:ascii="宋体" w:hAnsi="宋体" w:cs="宋体"/>
                <w:bCs/>
                <w:sz w:val="21"/>
                <w:szCs w:val="21"/>
              </w:rPr>
            </w:pPr>
            <w:r>
              <w:rPr>
                <w:rFonts w:hint="eastAsia" w:ascii="宋体" w:hAnsi="宋体" w:cs="宋体"/>
                <w:bCs/>
                <w:sz w:val="21"/>
                <w:szCs w:val="21"/>
              </w:rPr>
              <w:t>可以对评议结果进行公示，可灵活设置公示方案，包括公示时间、公示人员范围、公示内容等；可查看公示人员的公示材料（一览表、申报表）。</w:t>
            </w:r>
          </w:p>
          <w:p w14:paraId="56876A48">
            <w:pPr>
              <w:spacing w:line="520" w:lineRule="exact"/>
              <w:rPr>
                <w:rFonts w:hint="eastAsia" w:ascii="宋体" w:hAnsi="宋体" w:cs="宋体"/>
                <w:bCs/>
                <w:sz w:val="21"/>
                <w:szCs w:val="21"/>
              </w:rPr>
            </w:pPr>
            <w:r>
              <w:rPr>
                <w:rFonts w:hint="eastAsia" w:ascii="宋体" w:hAnsi="宋体" w:cs="宋体"/>
                <w:bCs/>
                <w:sz w:val="21"/>
                <w:szCs w:val="21"/>
              </w:rPr>
              <w:t>14.7.聘任结果管理</w:t>
            </w:r>
          </w:p>
          <w:p w14:paraId="240539DA">
            <w:pPr>
              <w:spacing w:line="520" w:lineRule="exact"/>
              <w:rPr>
                <w:rFonts w:hint="eastAsia" w:ascii="宋体" w:hAnsi="宋体" w:cs="宋体"/>
                <w:bCs/>
                <w:sz w:val="21"/>
                <w:szCs w:val="21"/>
              </w:rPr>
            </w:pPr>
            <w:r>
              <w:rPr>
                <w:rFonts w:hint="eastAsia" w:ascii="宋体" w:hAnsi="宋体" w:cs="宋体"/>
                <w:bCs/>
                <w:sz w:val="21"/>
                <w:szCs w:val="21"/>
              </w:rPr>
              <w:t>支持灵活查询岗位聘任结果；岗位调整的结果可自动更新到教职工信息库；可将调薪通知发送给工资管理人员。</w:t>
            </w:r>
          </w:p>
          <w:p w14:paraId="77893709">
            <w:pPr>
              <w:spacing w:line="520" w:lineRule="exact"/>
              <w:rPr>
                <w:rFonts w:hint="eastAsia" w:ascii="宋体" w:hAnsi="宋体" w:cs="宋体"/>
                <w:bCs/>
                <w:sz w:val="21"/>
                <w:szCs w:val="21"/>
              </w:rPr>
            </w:pPr>
            <w:r>
              <w:rPr>
                <w:rFonts w:hint="eastAsia" w:ascii="宋体" w:hAnsi="宋体" w:cs="宋体"/>
                <w:bCs/>
                <w:sz w:val="21"/>
                <w:szCs w:val="21"/>
              </w:rPr>
              <w:t>14.8.聘任数据分析</w:t>
            </w:r>
          </w:p>
          <w:p w14:paraId="6611421D">
            <w:pPr>
              <w:spacing w:line="520" w:lineRule="exact"/>
              <w:rPr>
                <w:rFonts w:hint="eastAsia" w:ascii="宋体" w:hAnsi="宋体" w:cs="宋体"/>
                <w:bCs/>
                <w:sz w:val="21"/>
                <w:szCs w:val="21"/>
              </w:rPr>
            </w:pPr>
            <w:r>
              <w:rPr>
                <w:rFonts w:hint="eastAsia" w:ascii="宋体" w:hAnsi="宋体" w:cs="宋体"/>
                <w:bCs/>
                <w:sz w:val="21"/>
                <w:szCs w:val="21"/>
              </w:rPr>
              <w:t>支持对岗位聘任结果进行多维度统计与分析，比如流程监控分析、各岗位申报统计分析等。</w:t>
            </w:r>
          </w:p>
          <w:p w14:paraId="3F223777">
            <w:pPr>
              <w:spacing w:line="520" w:lineRule="exact"/>
              <w:rPr>
                <w:rFonts w:hint="eastAsia" w:ascii="宋体" w:hAnsi="宋体" w:cs="宋体"/>
                <w:bCs/>
                <w:sz w:val="21"/>
                <w:szCs w:val="21"/>
              </w:rPr>
            </w:pPr>
            <w:r>
              <w:rPr>
                <w:rFonts w:hint="eastAsia" w:ascii="宋体" w:hAnsi="宋体" w:cs="宋体"/>
                <w:bCs/>
                <w:sz w:val="21"/>
                <w:szCs w:val="21"/>
              </w:rPr>
              <w:t>15.聘期考核</w:t>
            </w:r>
          </w:p>
          <w:p w14:paraId="1EB69D69">
            <w:pPr>
              <w:spacing w:line="520" w:lineRule="exact"/>
              <w:rPr>
                <w:rFonts w:hint="eastAsia" w:ascii="宋体" w:hAnsi="宋体" w:cs="宋体"/>
                <w:bCs/>
                <w:sz w:val="21"/>
                <w:szCs w:val="21"/>
              </w:rPr>
            </w:pPr>
            <w:r>
              <w:rPr>
                <w:rFonts w:hint="eastAsia" w:ascii="宋体" w:hAnsi="宋体" w:cs="宋体"/>
                <w:bCs/>
                <w:sz w:val="21"/>
                <w:szCs w:val="21"/>
              </w:rPr>
              <w:t>聘期考核以聘用合同规定的岗位职责任务为依据，以发展性评价为基本考核方向，合理评价教职工聘期任务的目标完成情况，旨在调动教职工聘期内工作积极性和创造性，增强教职工岗位履职责任意识。通过系统可实现对教师聘期考核管理，结合聘期任务及聘期内业绩完成情况进行评估，可以实现线上考核管理。</w:t>
            </w:r>
          </w:p>
          <w:p w14:paraId="5EC17C11">
            <w:pPr>
              <w:spacing w:line="520" w:lineRule="exact"/>
              <w:rPr>
                <w:rFonts w:hint="eastAsia" w:ascii="宋体" w:hAnsi="宋体" w:cs="宋体"/>
                <w:bCs/>
                <w:sz w:val="21"/>
                <w:szCs w:val="21"/>
              </w:rPr>
            </w:pPr>
            <w:r>
              <w:rPr>
                <w:rFonts w:hint="eastAsia" w:ascii="宋体" w:hAnsi="宋体" w:cs="宋体"/>
                <w:bCs/>
                <w:sz w:val="21"/>
                <w:szCs w:val="21"/>
              </w:rPr>
              <w:t>15.1.考核项目设置</w:t>
            </w:r>
          </w:p>
          <w:p w14:paraId="3FC1777C">
            <w:pPr>
              <w:spacing w:line="520" w:lineRule="exact"/>
              <w:rPr>
                <w:rFonts w:hint="eastAsia" w:ascii="宋体" w:hAnsi="宋体" w:cs="宋体"/>
                <w:bCs/>
                <w:sz w:val="21"/>
                <w:szCs w:val="21"/>
              </w:rPr>
            </w:pPr>
            <w:r>
              <w:rPr>
                <w:rFonts w:hint="eastAsia" w:ascii="宋体" w:hAnsi="宋体" w:cs="宋体"/>
                <w:bCs/>
                <w:sz w:val="21"/>
                <w:szCs w:val="21"/>
              </w:rPr>
              <w:t>可根据岗位类型创建聘期考核项目，可灵活设置项目状态，包括未启动、申报中、审核中、已结束四个状态。</w:t>
            </w:r>
          </w:p>
          <w:p w14:paraId="7C11ABAE">
            <w:pPr>
              <w:spacing w:line="520" w:lineRule="exact"/>
              <w:rPr>
                <w:rFonts w:hint="eastAsia" w:ascii="宋体" w:hAnsi="宋体" w:cs="宋体"/>
                <w:bCs/>
                <w:sz w:val="21"/>
                <w:szCs w:val="21"/>
              </w:rPr>
            </w:pPr>
            <w:r>
              <w:rPr>
                <w:rFonts w:hint="eastAsia" w:ascii="宋体" w:hAnsi="宋体" w:cs="宋体"/>
                <w:bCs/>
                <w:sz w:val="21"/>
                <w:szCs w:val="21"/>
              </w:rPr>
              <w:t>①建立考核项目：创建聘期考核项目，设置年度、起始时间，可以绑定聘期考核项目组。</w:t>
            </w:r>
          </w:p>
          <w:p w14:paraId="4CF43808">
            <w:pPr>
              <w:spacing w:line="520" w:lineRule="exact"/>
              <w:rPr>
                <w:rFonts w:hint="eastAsia" w:ascii="宋体" w:hAnsi="宋体" w:cs="宋体"/>
                <w:bCs/>
                <w:sz w:val="21"/>
                <w:szCs w:val="21"/>
              </w:rPr>
            </w:pPr>
            <w:r>
              <w:rPr>
                <w:rFonts w:hint="eastAsia" w:ascii="宋体" w:hAnsi="宋体" w:cs="宋体"/>
                <w:bCs/>
                <w:sz w:val="21"/>
                <w:szCs w:val="21"/>
              </w:rPr>
              <w:t>②申报须知设置：支持设置申报须知内容，并支持附件上传，申报人在申报时即可签订相关承诺书。</w:t>
            </w:r>
          </w:p>
          <w:p w14:paraId="501674A1">
            <w:pPr>
              <w:spacing w:line="520" w:lineRule="exact"/>
              <w:rPr>
                <w:rFonts w:hint="eastAsia" w:ascii="宋体" w:hAnsi="宋体" w:cs="宋体"/>
                <w:bCs/>
                <w:sz w:val="21"/>
                <w:szCs w:val="21"/>
              </w:rPr>
            </w:pPr>
            <w:r>
              <w:rPr>
                <w:rFonts w:hint="eastAsia" w:ascii="宋体" w:hAnsi="宋体" w:cs="宋体"/>
                <w:bCs/>
                <w:sz w:val="21"/>
                <w:szCs w:val="21"/>
              </w:rPr>
              <w:t>15.2.个人填报</w:t>
            </w:r>
          </w:p>
          <w:p w14:paraId="088529A5">
            <w:pPr>
              <w:spacing w:line="520" w:lineRule="exact"/>
              <w:rPr>
                <w:rFonts w:hint="eastAsia" w:ascii="宋体" w:hAnsi="宋体" w:cs="宋体"/>
                <w:bCs/>
                <w:sz w:val="21"/>
                <w:szCs w:val="21"/>
              </w:rPr>
            </w:pPr>
            <w:r>
              <w:rPr>
                <w:rFonts w:hint="eastAsia" w:ascii="宋体" w:hAnsi="宋体" w:cs="宋体"/>
                <w:bCs/>
                <w:sz w:val="21"/>
                <w:szCs w:val="21"/>
              </w:rPr>
              <w:t>教职工在线填报聘期内任务完成情况，总结聘期工作，人事基本信息可以从教职工信息库读取，支持教学信息、科研信息等可以通过与公共数据中心对接后自动获取，实现自动填报，教师只需做信息确认并可上传相关附件。</w:t>
            </w:r>
          </w:p>
          <w:p w14:paraId="779B5AA8">
            <w:pPr>
              <w:spacing w:line="520" w:lineRule="exact"/>
              <w:rPr>
                <w:rFonts w:hint="eastAsia" w:ascii="宋体" w:hAnsi="宋体" w:cs="宋体"/>
                <w:bCs/>
                <w:sz w:val="21"/>
                <w:szCs w:val="21"/>
              </w:rPr>
            </w:pPr>
            <w:r>
              <w:rPr>
                <w:rFonts w:hint="eastAsia" w:ascii="宋体" w:hAnsi="宋体" w:cs="宋体"/>
                <w:bCs/>
                <w:sz w:val="21"/>
                <w:szCs w:val="21"/>
              </w:rPr>
              <w:t>15.3.单位审核</w:t>
            </w:r>
          </w:p>
          <w:p w14:paraId="1DF1D652">
            <w:pPr>
              <w:spacing w:line="520" w:lineRule="exact"/>
              <w:rPr>
                <w:rFonts w:hint="eastAsia" w:ascii="宋体" w:hAnsi="宋体" w:cs="宋体"/>
                <w:bCs/>
                <w:sz w:val="21"/>
                <w:szCs w:val="21"/>
              </w:rPr>
            </w:pPr>
            <w:r>
              <w:rPr>
                <w:rFonts w:hint="eastAsia" w:ascii="宋体" w:hAnsi="宋体" w:cs="宋体"/>
                <w:bCs/>
                <w:sz w:val="21"/>
                <w:szCs w:val="21"/>
              </w:rPr>
              <w:t>二级单位对教职工填报材料进行审核或者提出修改、补充意见。可审核通过或不通过，支持退回修改。</w:t>
            </w:r>
          </w:p>
          <w:p w14:paraId="61B7C1DB">
            <w:pPr>
              <w:spacing w:line="520" w:lineRule="exact"/>
              <w:rPr>
                <w:rFonts w:hint="eastAsia" w:ascii="宋体" w:hAnsi="宋体" w:cs="宋体"/>
                <w:bCs/>
                <w:sz w:val="21"/>
                <w:szCs w:val="21"/>
              </w:rPr>
            </w:pPr>
            <w:r>
              <w:rPr>
                <w:rFonts w:hint="eastAsia" w:ascii="宋体" w:hAnsi="宋体" w:cs="宋体"/>
                <w:bCs/>
                <w:sz w:val="21"/>
                <w:szCs w:val="21"/>
              </w:rPr>
              <w:t>15.4.单位评议</w:t>
            </w:r>
          </w:p>
          <w:p w14:paraId="6194E5FE">
            <w:pPr>
              <w:spacing w:line="520" w:lineRule="exact"/>
              <w:rPr>
                <w:rFonts w:hint="eastAsia" w:ascii="宋体" w:hAnsi="宋体" w:cs="宋体"/>
                <w:bCs/>
                <w:sz w:val="21"/>
                <w:szCs w:val="21"/>
              </w:rPr>
            </w:pPr>
            <w:r>
              <w:rPr>
                <w:rFonts w:hint="eastAsia" w:ascii="宋体" w:hAnsi="宋体" w:cs="宋体"/>
                <w:bCs/>
                <w:sz w:val="21"/>
                <w:szCs w:val="21"/>
              </w:rPr>
              <w:t>二级单位可组织单位考核小组，根据教职工的工作业绩、日常表现及任期目标等，对考核结果进行评定，并对考核结果进行公示。</w:t>
            </w:r>
          </w:p>
          <w:p w14:paraId="28482FA5">
            <w:pPr>
              <w:spacing w:line="520" w:lineRule="exact"/>
              <w:rPr>
                <w:rFonts w:hint="eastAsia" w:ascii="宋体" w:hAnsi="宋体" w:cs="宋体"/>
                <w:bCs/>
                <w:sz w:val="21"/>
                <w:szCs w:val="21"/>
              </w:rPr>
            </w:pPr>
            <w:r>
              <w:rPr>
                <w:rFonts w:hint="eastAsia" w:ascii="宋体" w:hAnsi="宋体" w:cs="宋体"/>
                <w:bCs/>
                <w:sz w:val="21"/>
                <w:szCs w:val="21"/>
              </w:rPr>
              <w:t>15.5.学校审定</w:t>
            </w:r>
          </w:p>
          <w:p w14:paraId="745895C5">
            <w:pPr>
              <w:spacing w:line="520" w:lineRule="exact"/>
              <w:rPr>
                <w:rFonts w:hint="eastAsia" w:ascii="宋体" w:hAnsi="宋体" w:cs="宋体"/>
                <w:bCs/>
                <w:sz w:val="21"/>
                <w:szCs w:val="21"/>
              </w:rPr>
            </w:pPr>
            <w:r>
              <w:rPr>
                <w:rFonts w:hint="eastAsia" w:ascii="宋体" w:hAnsi="宋体" w:cs="宋体"/>
                <w:bCs/>
                <w:sz w:val="21"/>
                <w:szCs w:val="21"/>
              </w:rPr>
              <w:t>组织人事部对二级单位提交的考核意见和结果进行确认，并上报到聘委会进行评定。</w:t>
            </w:r>
          </w:p>
          <w:p w14:paraId="057695B0">
            <w:pPr>
              <w:spacing w:line="520" w:lineRule="exact"/>
              <w:rPr>
                <w:rFonts w:hint="eastAsia" w:ascii="宋体" w:hAnsi="宋体" w:cs="宋体"/>
                <w:bCs/>
                <w:sz w:val="21"/>
                <w:szCs w:val="21"/>
              </w:rPr>
            </w:pPr>
            <w:r>
              <w:rPr>
                <w:rFonts w:hint="eastAsia" w:ascii="宋体" w:hAnsi="宋体" w:cs="宋体"/>
                <w:bCs/>
                <w:sz w:val="21"/>
                <w:szCs w:val="21"/>
              </w:rPr>
              <w:t>15.6.聘委会评议</w:t>
            </w:r>
          </w:p>
          <w:p w14:paraId="315942CD">
            <w:pPr>
              <w:spacing w:line="520" w:lineRule="exact"/>
              <w:rPr>
                <w:rFonts w:hint="eastAsia" w:ascii="宋体" w:hAnsi="宋体" w:cs="宋体"/>
                <w:bCs/>
                <w:sz w:val="21"/>
                <w:szCs w:val="21"/>
              </w:rPr>
            </w:pPr>
            <w:r>
              <w:rPr>
                <w:rFonts w:hint="eastAsia" w:ascii="宋体" w:hAnsi="宋体" w:cs="宋体"/>
                <w:bCs/>
                <w:sz w:val="21"/>
                <w:szCs w:val="21"/>
              </w:rPr>
              <w:t>聘委会对考核结果进行讨论，讨论通过后进行公示。</w:t>
            </w:r>
          </w:p>
          <w:p w14:paraId="48647F59">
            <w:pPr>
              <w:spacing w:line="520" w:lineRule="exact"/>
              <w:rPr>
                <w:rFonts w:hint="eastAsia" w:ascii="宋体" w:hAnsi="宋体" w:cs="宋体"/>
                <w:bCs/>
                <w:sz w:val="21"/>
                <w:szCs w:val="21"/>
              </w:rPr>
            </w:pPr>
            <w:r>
              <w:rPr>
                <w:rFonts w:hint="eastAsia" w:ascii="宋体" w:hAnsi="宋体" w:cs="宋体"/>
                <w:bCs/>
                <w:sz w:val="21"/>
                <w:szCs w:val="21"/>
              </w:rPr>
              <w:t>15.7.公示管理</w:t>
            </w:r>
          </w:p>
          <w:p w14:paraId="5276611B">
            <w:pPr>
              <w:spacing w:line="520" w:lineRule="exact"/>
              <w:rPr>
                <w:rFonts w:hint="eastAsia" w:ascii="宋体" w:hAnsi="宋体" w:cs="宋体"/>
                <w:bCs/>
                <w:sz w:val="21"/>
                <w:szCs w:val="21"/>
              </w:rPr>
            </w:pPr>
            <w:r>
              <w:rPr>
                <w:rFonts w:hint="eastAsia" w:ascii="宋体" w:hAnsi="宋体" w:cs="宋体"/>
                <w:bCs/>
                <w:sz w:val="21"/>
                <w:szCs w:val="21"/>
              </w:rPr>
              <w:t>可灵活设置公示方案，包括公示时间、公示人员范围、公示内容等。教职工可进入系统查看公示内容。</w:t>
            </w:r>
          </w:p>
          <w:p w14:paraId="2278389B">
            <w:pPr>
              <w:spacing w:line="520" w:lineRule="exact"/>
              <w:rPr>
                <w:rFonts w:hint="eastAsia" w:ascii="宋体" w:hAnsi="宋体" w:cs="宋体"/>
                <w:bCs/>
                <w:sz w:val="21"/>
                <w:szCs w:val="21"/>
              </w:rPr>
            </w:pPr>
            <w:r>
              <w:rPr>
                <w:rFonts w:hint="eastAsia" w:ascii="宋体" w:hAnsi="宋体" w:cs="宋体"/>
                <w:bCs/>
                <w:sz w:val="21"/>
                <w:szCs w:val="21"/>
              </w:rPr>
              <w:t>15.8.考核结果管理</w:t>
            </w:r>
          </w:p>
          <w:p w14:paraId="79204615">
            <w:pPr>
              <w:spacing w:line="520" w:lineRule="exact"/>
              <w:rPr>
                <w:rFonts w:hint="eastAsia" w:ascii="宋体" w:hAnsi="宋体" w:cs="宋体"/>
                <w:bCs/>
                <w:sz w:val="21"/>
                <w:szCs w:val="21"/>
              </w:rPr>
            </w:pPr>
            <w:r>
              <w:rPr>
                <w:rFonts w:hint="eastAsia" w:ascii="宋体" w:hAnsi="宋体" w:cs="宋体"/>
                <w:bCs/>
                <w:sz w:val="21"/>
                <w:szCs w:val="21"/>
              </w:rPr>
              <w:t>聘期考核通过的教职工，可参加岗位聘任并签定聘用合同。</w:t>
            </w:r>
          </w:p>
          <w:p w14:paraId="662D812C">
            <w:pPr>
              <w:spacing w:line="520" w:lineRule="exact"/>
              <w:rPr>
                <w:rFonts w:hint="eastAsia" w:ascii="宋体" w:hAnsi="宋体" w:cs="宋体"/>
                <w:bCs/>
                <w:sz w:val="21"/>
                <w:szCs w:val="21"/>
              </w:rPr>
            </w:pPr>
            <w:r>
              <w:rPr>
                <w:rFonts w:hint="eastAsia" w:ascii="宋体" w:hAnsi="宋体" w:cs="宋体"/>
                <w:bCs/>
                <w:sz w:val="21"/>
                <w:szCs w:val="21"/>
              </w:rPr>
              <w:t>16.岗位目标监测</w:t>
            </w:r>
          </w:p>
          <w:p w14:paraId="7AC16466">
            <w:pPr>
              <w:spacing w:line="520" w:lineRule="exact"/>
              <w:rPr>
                <w:rFonts w:hint="eastAsia" w:ascii="宋体" w:hAnsi="宋体" w:cs="宋体"/>
                <w:bCs/>
                <w:sz w:val="21"/>
                <w:szCs w:val="21"/>
              </w:rPr>
            </w:pPr>
            <w:r>
              <w:rPr>
                <w:rFonts w:hint="eastAsia" w:ascii="宋体" w:hAnsi="宋体" w:cs="宋体"/>
                <w:bCs/>
                <w:sz w:val="21"/>
                <w:szCs w:val="21"/>
              </w:rPr>
              <w:t>岗位目标监测是基于岗位职责监控管理需求，搭建岗位职责监控管理模块，实现各级人员可以通过多终端查看岗位任务，了解任务完成情况，并能实时监控提醒。</w:t>
            </w:r>
          </w:p>
          <w:p w14:paraId="6835A114">
            <w:pPr>
              <w:spacing w:line="520" w:lineRule="exact"/>
              <w:rPr>
                <w:rFonts w:hint="eastAsia" w:ascii="宋体" w:hAnsi="宋体" w:cs="宋体"/>
                <w:bCs/>
                <w:sz w:val="21"/>
                <w:szCs w:val="21"/>
              </w:rPr>
            </w:pPr>
            <w:r>
              <w:rPr>
                <w:rFonts w:hint="eastAsia" w:ascii="宋体" w:hAnsi="宋体" w:cs="宋体"/>
                <w:bCs/>
                <w:sz w:val="21"/>
                <w:szCs w:val="21"/>
              </w:rPr>
              <w:t>16.1.指标库建设</w:t>
            </w:r>
          </w:p>
          <w:p w14:paraId="6C715833">
            <w:pPr>
              <w:spacing w:line="520" w:lineRule="exact"/>
              <w:rPr>
                <w:rFonts w:hint="eastAsia" w:ascii="宋体" w:hAnsi="宋体" w:cs="宋体"/>
                <w:bCs/>
                <w:sz w:val="21"/>
                <w:szCs w:val="21"/>
              </w:rPr>
            </w:pPr>
            <w:r>
              <w:rPr>
                <w:rFonts w:hint="eastAsia" w:ascii="宋体" w:hAnsi="宋体" w:cs="宋体"/>
                <w:bCs/>
                <w:sz w:val="21"/>
                <w:szCs w:val="21"/>
              </w:rPr>
              <w:t>岗位职责指标库是用于维护岗位职责监控管理过程中的各种定性指标和定量指标，可以维护各指标的条件规则、评分方式等。系统支持指标的新增、编辑和删除，支持指标模板的设置、复制和删除。岗位职责指标库的每个指标可设置指标类型（客观指标、主观指标）、指标分类（可选指标、必选指标）、是否允许修改完成率、指标值是否动态、计算方式（公式计算、标准设置、数量统计、字段统计）等。支持自定义指标体系。</w:t>
            </w:r>
          </w:p>
          <w:p w14:paraId="535197DC">
            <w:pPr>
              <w:spacing w:line="520" w:lineRule="exact"/>
              <w:rPr>
                <w:rFonts w:hint="eastAsia" w:ascii="宋体" w:hAnsi="宋体" w:cs="宋体"/>
                <w:bCs/>
                <w:sz w:val="21"/>
                <w:szCs w:val="21"/>
              </w:rPr>
            </w:pPr>
            <w:r>
              <w:rPr>
                <w:rFonts w:hint="eastAsia" w:ascii="宋体" w:hAnsi="宋体" w:cs="宋体"/>
                <w:bCs/>
                <w:sz w:val="21"/>
                <w:szCs w:val="21"/>
              </w:rPr>
              <w:t>16.2.岗位职责任务设定</w:t>
            </w:r>
          </w:p>
          <w:p w14:paraId="7C3BAC28">
            <w:pPr>
              <w:spacing w:line="520" w:lineRule="exact"/>
              <w:rPr>
                <w:rFonts w:hint="eastAsia" w:ascii="宋体" w:hAnsi="宋体" w:cs="宋体"/>
                <w:bCs/>
                <w:sz w:val="21"/>
                <w:szCs w:val="21"/>
              </w:rPr>
            </w:pPr>
            <w:r>
              <w:rPr>
                <w:rFonts w:hint="eastAsia" w:ascii="宋体" w:hAnsi="宋体" w:cs="宋体"/>
                <w:bCs/>
                <w:sz w:val="21"/>
                <w:szCs w:val="21"/>
              </w:rPr>
              <w:t>创建绩效项目时，支持设定项目基本信息，如项目名称、开始时间、结束时间、绩效年度、绩效数据同步方案（每个业绩指标需设置数据源、数据同步方式及取值范围等）等；支持设置不同类型岗位的指标模板及人员范围，指标模板可以从岗位职责指标库选择指标模板，支持对指标进行修改。根据设定的人员范围，系统支持初始化人员名单，也支持导入和添加人员名单；支持设置每个人的岗位职责任务，设置完成后即可启动项目。</w:t>
            </w:r>
          </w:p>
          <w:p w14:paraId="1848878D">
            <w:pPr>
              <w:spacing w:line="520" w:lineRule="exact"/>
              <w:rPr>
                <w:rFonts w:hint="eastAsia" w:ascii="宋体" w:hAnsi="宋体" w:cs="宋体"/>
                <w:bCs/>
                <w:sz w:val="21"/>
                <w:szCs w:val="21"/>
              </w:rPr>
            </w:pPr>
            <w:r>
              <w:rPr>
                <w:rFonts w:hint="eastAsia" w:ascii="宋体" w:hAnsi="宋体" w:cs="宋体"/>
                <w:bCs/>
                <w:sz w:val="21"/>
                <w:szCs w:val="21"/>
              </w:rPr>
              <w:t>16.3.岗位职责过程监控</w:t>
            </w:r>
          </w:p>
          <w:p w14:paraId="3184DA01">
            <w:pPr>
              <w:spacing w:line="520" w:lineRule="exact"/>
              <w:rPr>
                <w:rFonts w:hint="eastAsia" w:ascii="宋体" w:hAnsi="宋体" w:cs="宋体"/>
                <w:bCs/>
                <w:sz w:val="21"/>
                <w:szCs w:val="21"/>
              </w:rPr>
            </w:pPr>
            <w:r>
              <w:rPr>
                <w:rFonts w:hint="eastAsia" w:ascii="宋体" w:hAnsi="宋体" w:cs="宋体"/>
                <w:bCs/>
                <w:sz w:val="21"/>
                <w:szCs w:val="21"/>
              </w:rPr>
              <w:t>教职工在完成岗位职责任务的过程中，部分指标通过绩效数据中心同步其他业务系统业绩数据进行条件判断，展示完成情况及完成进度外；还有部分指标可由教职工上报完成情况，经由相关人员审核后，展示完成情况及完成进度。系统支持对比岗位职责指标任务，通过进度条（百分比）的方式实时展示完成进度。系统支持设置消息提醒规则和提醒内容，按规则自动生成提醒信息，并通过用户桌面提醒，支持短信、邮件、站内消息、企业微信、校内统一通讯平台等多种提醒方式。</w:t>
            </w:r>
          </w:p>
          <w:p w14:paraId="50AC3187">
            <w:pPr>
              <w:spacing w:line="520" w:lineRule="exact"/>
              <w:rPr>
                <w:rFonts w:hint="eastAsia" w:ascii="宋体" w:hAnsi="宋体" w:cs="宋体"/>
                <w:bCs/>
                <w:sz w:val="21"/>
                <w:szCs w:val="21"/>
              </w:rPr>
            </w:pPr>
            <w:r>
              <w:rPr>
                <w:rFonts w:hint="eastAsia" w:ascii="宋体" w:hAnsi="宋体" w:cs="宋体"/>
                <w:bCs/>
                <w:sz w:val="21"/>
                <w:szCs w:val="21"/>
              </w:rPr>
              <w:t>16.4.查询统计</w:t>
            </w:r>
          </w:p>
          <w:p w14:paraId="78F4E7B9">
            <w:pPr>
              <w:spacing w:line="520" w:lineRule="exact"/>
              <w:rPr>
                <w:rFonts w:hint="eastAsia" w:ascii="宋体" w:hAnsi="宋体" w:cs="宋体"/>
                <w:bCs/>
                <w:sz w:val="21"/>
                <w:szCs w:val="21"/>
              </w:rPr>
            </w:pPr>
            <w:r>
              <w:rPr>
                <w:rFonts w:hint="eastAsia" w:ascii="宋体" w:hAnsi="宋体" w:cs="宋体"/>
                <w:bCs/>
                <w:sz w:val="21"/>
                <w:szCs w:val="21"/>
              </w:rPr>
              <w:t>系统支持不同角色可以通过多终端（PC端和移动端）根据权限范围查询岗位职责目标设定情况、完成情况及完成进度，如教职工可以查看个人岗位职责目标设定情况、完成情况及完成进度，支持查看业绩详情及上报的业绩审核情况等；组织人事部可以查看整个学校岗位职责目标设定情况、完成情况及完成进度及每个教职工的业绩详情。</w:t>
            </w:r>
          </w:p>
          <w:p w14:paraId="666AA2AF">
            <w:pPr>
              <w:spacing w:line="520" w:lineRule="exact"/>
              <w:rPr>
                <w:rFonts w:hint="eastAsia" w:ascii="宋体" w:hAnsi="宋体" w:cs="宋体"/>
                <w:bCs/>
                <w:sz w:val="21"/>
                <w:szCs w:val="21"/>
              </w:rPr>
            </w:pPr>
            <w:r>
              <w:rPr>
                <w:rFonts w:hint="eastAsia" w:ascii="宋体" w:hAnsi="宋体" w:cs="宋体"/>
                <w:bCs/>
                <w:sz w:val="21"/>
                <w:szCs w:val="21"/>
              </w:rPr>
              <w:t>17.高层次人才管理</w:t>
            </w:r>
          </w:p>
          <w:p w14:paraId="23F004CB">
            <w:pPr>
              <w:spacing w:line="520" w:lineRule="exact"/>
              <w:rPr>
                <w:rFonts w:hint="eastAsia" w:ascii="宋体" w:hAnsi="宋体" w:cs="宋体"/>
                <w:bCs/>
                <w:sz w:val="21"/>
                <w:szCs w:val="21"/>
              </w:rPr>
            </w:pPr>
            <w:r>
              <w:rPr>
                <w:rFonts w:hint="eastAsia" w:ascii="宋体" w:hAnsi="宋体" w:cs="宋体"/>
                <w:bCs/>
                <w:sz w:val="21"/>
                <w:szCs w:val="21"/>
              </w:rPr>
              <w:t>高层次人才是“人才强校”战略的重要内容，是学校宝贵的人力资源财富，代表着学校的专业实力，是构成学校社会声誉的基础，通过系统可以实现人才信息、人才引进、人才项目申报、人才考核评估、人才协议、人才政策落实等业务的全方位管理。</w:t>
            </w:r>
          </w:p>
          <w:p w14:paraId="49F4A4D4">
            <w:pPr>
              <w:spacing w:line="520" w:lineRule="exact"/>
              <w:rPr>
                <w:rFonts w:hint="eastAsia" w:ascii="宋体" w:hAnsi="宋体" w:cs="宋体"/>
                <w:bCs/>
                <w:sz w:val="21"/>
                <w:szCs w:val="21"/>
              </w:rPr>
            </w:pPr>
            <w:r>
              <w:rPr>
                <w:rFonts w:hint="eastAsia" w:ascii="宋体" w:hAnsi="宋体" w:cs="宋体"/>
                <w:bCs/>
                <w:sz w:val="21"/>
                <w:szCs w:val="21"/>
              </w:rPr>
              <w:t>17.1.人才信息管理</w:t>
            </w:r>
          </w:p>
          <w:p w14:paraId="496444FD">
            <w:pPr>
              <w:spacing w:line="520" w:lineRule="exact"/>
              <w:rPr>
                <w:rFonts w:hint="eastAsia" w:ascii="宋体" w:hAnsi="宋体" w:cs="宋体"/>
                <w:bCs/>
                <w:sz w:val="21"/>
                <w:szCs w:val="21"/>
              </w:rPr>
            </w:pPr>
            <w:r>
              <w:rPr>
                <w:rFonts w:hint="eastAsia" w:ascii="宋体" w:hAnsi="宋体" w:cs="宋体"/>
                <w:bCs/>
                <w:sz w:val="21"/>
                <w:szCs w:val="21"/>
              </w:rPr>
              <w:t>17.1.1.人才信息库</w:t>
            </w:r>
          </w:p>
          <w:p w14:paraId="26B76DEF">
            <w:pPr>
              <w:spacing w:line="520" w:lineRule="exact"/>
              <w:rPr>
                <w:rFonts w:hint="eastAsia" w:ascii="宋体" w:hAnsi="宋体" w:cs="宋体"/>
                <w:bCs/>
                <w:sz w:val="21"/>
                <w:szCs w:val="21"/>
              </w:rPr>
            </w:pPr>
            <w:r>
              <w:rPr>
                <w:rFonts w:hint="eastAsia" w:ascii="宋体" w:hAnsi="宋体" w:cs="宋体"/>
                <w:bCs/>
                <w:sz w:val="21"/>
                <w:szCs w:val="21"/>
              </w:rPr>
              <w:t>在教职工信息库基础上，扩展高层次人才信息，建立全校统一的高层次人才信息库。实现对人才信息的管理，人才信息由基本信息和一系列信息子集组成，其中基本信息可从教职工信息自动获取，子集信息为高层次人才的扩展数据，比如人才项目、人才协议、科研启动经费、安家费、考核信息等，实现高层次人才360度全方位的信息管理。</w:t>
            </w:r>
          </w:p>
          <w:p w14:paraId="6601435D">
            <w:pPr>
              <w:spacing w:line="520" w:lineRule="exact"/>
              <w:rPr>
                <w:rFonts w:hint="eastAsia" w:ascii="宋体" w:hAnsi="宋体" w:cs="宋体"/>
                <w:bCs/>
                <w:sz w:val="21"/>
                <w:szCs w:val="21"/>
              </w:rPr>
            </w:pPr>
            <w:r>
              <w:rPr>
                <w:rFonts w:hint="eastAsia" w:ascii="宋体" w:hAnsi="宋体" w:cs="宋体"/>
                <w:bCs/>
                <w:sz w:val="21"/>
                <w:szCs w:val="21"/>
              </w:rPr>
              <w:t>17.1.2.人才称号管理</w:t>
            </w:r>
          </w:p>
          <w:p w14:paraId="598222F2">
            <w:pPr>
              <w:spacing w:line="520" w:lineRule="exact"/>
              <w:rPr>
                <w:rFonts w:hint="eastAsia" w:ascii="宋体" w:hAnsi="宋体" w:cs="宋体"/>
                <w:bCs/>
                <w:sz w:val="21"/>
                <w:szCs w:val="21"/>
              </w:rPr>
            </w:pPr>
            <w:r>
              <w:rPr>
                <w:rFonts w:hint="eastAsia" w:ascii="宋体" w:hAnsi="宋体" w:cs="宋体"/>
                <w:bCs/>
                <w:sz w:val="21"/>
                <w:szCs w:val="21"/>
              </w:rPr>
              <w:t>实现对不同类型的高层次人才称号的管理，人才称号包括国家级称号（中国科学院院士、中国工程院院士、千人计划、青年千人计划、万人计划等）、部委级人才称号（长江学者、国家杰出青年科学基金、国家优秀青年科学基金、百人计划、百千万人才工程、优秀博士后、973首席科学家、863首席科学家、国家教学名师、全国优秀教师、全国师德先进个人、全国模范教师、国家最高科学技术奖获得者、国家有突出贡献专家、国家科技功臣、国务院政府津贴专家等）、省、市级人才称号、校级人才称号等。</w:t>
            </w:r>
          </w:p>
          <w:p w14:paraId="708387C9">
            <w:pPr>
              <w:spacing w:line="520" w:lineRule="exact"/>
              <w:rPr>
                <w:rFonts w:hint="eastAsia" w:ascii="宋体" w:hAnsi="宋体" w:cs="宋体"/>
                <w:bCs/>
                <w:sz w:val="21"/>
                <w:szCs w:val="21"/>
              </w:rPr>
            </w:pPr>
            <w:r>
              <w:rPr>
                <w:rFonts w:hint="eastAsia" w:ascii="宋体" w:hAnsi="宋体" w:cs="宋体"/>
                <w:bCs/>
                <w:sz w:val="21"/>
                <w:szCs w:val="21"/>
              </w:rPr>
              <w:t>17.1.3.人才称号统计</w:t>
            </w:r>
          </w:p>
          <w:p w14:paraId="00FD1D1D">
            <w:pPr>
              <w:spacing w:line="520" w:lineRule="exact"/>
              <w:rPr>
                <w:rFonts w:hint="eastAsia" w:ascii="宋体" w:hAnsi="宋体" w:cs="宋体"/>
                <w:bCs/>
                <w:sz w:val="21"/>
                <w:szCs w:val="21"/>
              </w:rPr>
            </w:pPr>
            <w:r>
              <w:rPr>
                <w:rFonts w:hint="eastAsia" w:ascii="宋体" w:hAnsi="宋体" w:cs="宋体"/>
                <w:bCs/>
                <w:sz w:val="21"/>
                <w:szCs w:val="21"/>
              </w:rPr>
              <w:t>可直观的展示国家级、省级、校级下拥有该称号的人员数量统计。可以穿透查询称号下详细人才的数据。</w:t>
            </w:r>
          </w:p>
          <w:p w14:paraId="09529504">
            <w:pPr>
              <w:spacing w:line="520" w:lineRule="exact"/>
              <w:rPr>
                <w:rFonts w:hint="eastAsia" w:ascii="宋体" w:hAnsi="宋体" w:cs="宋体"/>
                <w:bCs/>
                <w:sz w:val="21"/>
                <w:szCs w:val="21"/>
              </w:rPr>
            </w:pPr>
            <w:r>
              <w:rPr>
                <w:rFonts w:hint="eastAsia" w:ascii="宋体" w:hAnsi="宋体" w:cs="宋体"/>
                <w:bCs/>
                <w:sz w:val="21"/>
                <w:szCs w:val="21"/>
              </w:rPr>
              <w:t>17.2.人才项目申报</w:t>
            </w:r>
          </w:p>
          <w:p w14:paraId="402B65C3">
            <w:pPr>
              <w:spacing w:line="520" w:lineRule="exact"/>
              <w:rPr>
                <w:rFonts w:hint="eastAsia" w:ascii="宋体" w:hAnsi="宋体" w:cs="宋体"/>
                <w:bCs/>
                <w:sz w:val="21"/>
                <w:szCs w:val="21"/>
              </w:rPr>
            </w:pPr>
            <w:r>
              <w:rPr>
                <w:rFonts w:hint="eastAsia" w:ascii="宋体" w:hAnsi="宋体" w:cs="宋体"/>
                <w:bCs/>
                <w:sz w:val="21"/>
                <w:szCs w:val="21"/>
              </w:rPr>
              <w:t>支持对各类人才工程和荣誉称号的申报和评审过程管理。其中校外人才项目可以实现申报进度信息和结果信息的登记和维护；校内人才项目可以设置为全流程化管理。</w:t>
            </w:r>
          </w:p>
          <w:p w14:paraId="5BEBCEBB">
            <w:pPr>
              <w:spacing w:line="520" w:lineRule="exact"/>
              <w:rPr>
                <w:rFonts w:hint="eastAsia" w:ascii="宋体" w:hAnsi="宋体" w:cs="宋体"/>
                <w:bCs/>
                <w:sz w:val="21"/>
                <w:szCs w:val="21"/>
              </w:rPr>
            </w:pPr>
            <w:r>
              <w:rPr>
                <w:rFonts w:hint="eastAsia" w:ascii="宋体" w:hAnsi="宋体" w:cs="宋体"/>
                <w:bCs/>
                <w:sz w:val="21"/>
                <w:szCs w:val="21"/>
              </w:rPr>
              <w:t>①批次设置：创建申报批次，设置批次类型、人才岗位、开始时间、结束时间等。</w:t>
            </w:r>
          </w:p>
          <w:p w14:paraId="0066B8D9">
            <w:pPr>
              <w:spacing w:line="520" w:lineRule="exact"/>
              <w:rPr>
                <w:rFonts w:hint="eastAsia" w:ascii="宋体" w:hAnsi="宋体" w:cs="宋体"/>
                <w:bCs/>
                <w:sz w:val="21"/>
                <w:szCs w:val="21"/>
              </w:rPr>
            </w:pPr>
            <w:r>
              <w:rPr>
                <w:rFonts w:hint="eastAsia" w:ascii="宋体" w:hAnsi="宋体" w:cs="宋体"/>
                <w:bCs/>
                <w:sz w:val="21"/>
                <w:szCs w:val="21"/>
              </w:rPr>
              <w:t>②项目申报：教职工可以通过系统进行项目申报，申报时人事基本信息可以自动读取，教学信息、科研信息等可以通过与学校公共数据中心或教务系统、科研系统对接，也可由教职工手动新增填写。通过系统生成申报所需要的申报表，可以导出、打印。</w:t>
            </w:r>
          </w:p>
          <w:p w14:paraId="7FCE194C">
            <w:pPr>
              <w:spacing w:line="520" w:lineRule="exact"/>
              <w:rPr>
                <w:rFonts w:hint="eastAsia" w:ascii="宋体" w:hAnsi="宋体" w:cs="宋体"/>
                <w:bCs/>
                <w:sz w:val="21"/>
                <w:szCs w:val="21"/>
              </w:rPr>
            </w:pPr>
            <w:r>
              <w:rPr>
                <w:rFonts w:hint="eastAsia" w:ascii="宋体" w:hAnsi="宋体" w:cs="宋体"/>
                <w:bCs/>
                <w:sz w:val="21"/>
                <w:szCs w:val="21"/>
              </w:rPr>
              <w:t>③条件审核：二级单位、人才办对申报人员的条件进行审核。</w:t>
            </w:r>
          </w:p>
          <w:p w14:paraId="20AD68DB">
            <w:pPr>
              <w:spacing w:line="520" w:lineRule="exact"/>
              <w:rPr>
                <w:rFonts w:hint="eastAsia" w:ascii="宋体" w:hAnsi="宋体" w:cs="宋体"/>
                <w:bCs/>
                <w:sz w:val="21"/>
                <w:szCs w:val="21"/>
              </w:rPr>
            </w:pPr>
            <w:r>
              <w:rPr>
                <w:rFonts w:hint="eastAsia" w:ascii="宋体" w:hAnsi="宋体" w:cs="宋体"/>
                <w:bCs/>
                <w:sz w:val="21"/>
                <w:szCs w:val="21"/>
              </w:rPr>
              <w:t>④二级单位推荐：确定推荐人员名单，提交给学校进行审核。</w:t>
            </w:r>
          </w:p>
          <w:p w14:paraId="379C5F2B">
            <w:pPr>
              <w:spacing w:line="520" w:lineRule="exact"/>
              <w:rPr>
                <w:rFonts w:hint="eastAsia" w:ascii="宋体" w:hAnsi="宋体" w:cs="宋体"/>
                <w:bCs/>
                <w:sz w:val="21"/>
                <w:szCs w:val="21"/>
              </w:rPr>
            </w:pPr>
            <w:r>
              <w:rPr>
                <w:rFonts w:hint="eastAsia" w:ascii="宋体" w:hAnsi="宋体" w:cs="宋体"/>
                <w:bCs/>
                <w:sz w:val="21"/>
                <w:szCs w:val="21"/>
              </w:rPr>
              <w:t>⑤专家评审：学校组织校内外专家对申报人员及申报材料进行评审，支持对评审结果进行维护，可批量进行通过操作。</w:t>
            </w:r>
          </w:p>
          <w:p w14:paraId="04FBC4A6">
            <w:pPr>
              <w:spacing w:line="520" w:lineRule="exact"/>
              <w:rPr>
                <w:rFonts w:hint="eastAsia" w:ascii="宋体" w:hAnsi="宋体" w:cs="宋体"/>
                <w:bCs/>
                <w:sz w:val="21"/>
                <w:szCs w:val="21"/>
              </w:rPr>
            </w:pPr>
            <w:r>
              <w:rPr>
                <w:rFonts w:hint="eastAsia" w:ascii="宋体" w:hAnsi="宋体" w:cs="宋体"/>
                <w:bCs/>
                <w:sz w:val="21"/>
                <w:szCs w:val="21"/>
              </w:rPr>
              <w:t>⑥学校审核：学校对申报人员进行最终审核，审核通过后，在全校公示。</w:t>
            </w:r>
          </w:p>
          <w:p w14:paraId="49B3C77B">
            <w:pPr>
              <w:spacing w:line="520" w:lineRule="exact"/>
              <w:rPr>
                <w:rFonts w:hint="eastAsia" w:ascii="宋体" w:hAnsi="宋体" w:cs="宋体"/>
                <w:bCs/>
                <w:sz w:val="21"/>
                <w:szCs w:val="21"/>
              </w:rPr>
            </w:pPr>
            <w:r>
              <w:rPr>
                <w:rFonts w:hint="eastAsia" w:ascii="宋体" w:hAnsi="宋体" w:cs="宋体"/>
                <w:bCs/>
                <w:sz w:val="21"/>
                <w:szCs w:val="21"/>
              </w:rPr>
              <w:t>⑦结果管理：支持教职工申报结果的查询统计。</w:t>
            </w:r>
          </w:p>
          <w:p w14:paraId="10F895D9">
            <w:pPr>
              <w:spacing w:line="520" w:lineRule="exact"/>
              <w:rPr>
                <w:rFonts w:hint="eastAsia" w:ascii="宋体" w:hAnsi="宋体" w:cs="宋体"/>
                <w:bCs/>
                <w:sz w:val="21"/>
                <w:szCs w:val="21"/>
              </w:rPr>
            </w:pPr>
            <w:r>
              <w:rPr>
                <w:rFonts w:hint="eastAsia" w:ascii="宋体" w:hAnsi="宋体" w:cs="宋体"/>
                <w:bCs/>
                <w:sz w:val="21"/>
                <w:szCs w:val="21"/>
              </w:rPr>
              <w:t>17.3.人才协议管理</w:t>
            </w:r>
          </w:p>
          <w:p w14:paraId="2B996958">
            <w:pPr>
              <w:spacing w:line="520" w:lineRule="exact"/>
              <w:rPr>
                <w:rFonts w:hint="eastAsia" w:ascii="宋体" w:hAnsi="宋体" w:cs="宋体"/>
                <w:bCs/>
                <w:sz w:val="21"/>
                <w:szCs w:val="21"/>
              </w:rPr>
            </w:pPr>
            <w:r>
              <w:rPr>
                <w:rFonts w:hint="eastAsia" w:ascii="宋体" w:hAnsi="宋体" w:cs="宋体"/>
                <w:bCs/>
                <w:sz w:val="21"/>
                <w:szCs w:val="21"/>
              </w:rPr>
              <w:t>系统支持人才服务协议信息的登记和管理，建立人才协议信息库。协议即将到期，由系统自动发送消息提醒有关人员。支持人才引进协议业务的流程化办理，包括协议新签、续签及终止。可根据协议类型定义不同的协议打印模板，支持协议文本在线打印。</w:t>
            </w:r>
          </w:p>
          <w:p w14:paraId="376B21B2">
            <w:pPr>
              <w:spacing w:line="520" w:lineRule="exact"/>
              <w:rPr>
                <w:rFonts w:hint="eastAsia" w:ascii="宋体" w:hAnsi="宋体" w:cs="宋体"/>
                <w:bCs/>
                <w:sz w:val="21"/>
                <w:szCs w:val="21"/>
              </w:rPr>
            </w:pPr>
            <w:r>
              <w:rPr>
                <w:rFonts w:hint="eastAsia" w:ascii="宋体" w:hAnsi="宋体" w:cs="宋体"/>
                <w:bCs/>
                <w:sz w:val="21"/>
                <w:szCs w:val="21"/>
              </w:rPr>
              <w:t>①协议模板设置：根据人才称号定义对应的协议模板，模板内容包括年薪、科研启动经费、安家费、及甲乙双方的责任义务等信息。</w:t>
            </w:r>
          </w:p>
          <w:p w14:paraId="23F88381">
            <w:pPr>
              <w:spacing w:line="520" w:lineRule="exact"/>
              <w:rPr>
                <w:rFonts w:hint="eastAsia" w:ascii="宋体" w:hAnsi="宋体" w:cs="宋体"/>
                <w:bCs/>
                <w:sz w:val="21"/>
                <w:szCs w:val="21"/>
              </w:rPr>
            </w:pPr>
            <w:r>
              <w:rPr>
                <w:rFonts w:hint="eastAsia" w:ascii="宋体" w:hAnsi="宋体" w:cs="宋体"/>
                <w:bCs/>
                <w:sz w:val="21"/>
                <w:szCs w:val="21"/>
              </w:rPr>
              <w:t>②协议信息库：建立协议信息库，包括当前协议和全部信息，管理员进行合同登记和信息维护。支持在线查询、下载、打印人才协议模板；支持上传人才协议的电子扫描件。</w:t>
            </w:r>
          </w:p>
          <w:p w14:paraId="0FD9BD8A">
            <w:pPr>
              <w:spacing w:line="520" w:lineRule="exact"/>
              <w:rPr>
                <w:rFonts w:hint="eastAsia" w:ascii="宋体" w:hAnsi="宋体" w:cs="宋体"/>
                <w:bCs/>
                <w:sz w:val="21"/>
                <w:szCs w:val="21"/>
              </w:rPr>
            </w:pPr>
            <w:r>
              <w:rPr>
                <w:rFonts w:hint="eastAsia" w:ascii="宋体" w:hAnsi="宋体" w:cs="宋体"/>
                <w:bCs/>
                <w:sz w:val="21"/>
                <w:szCs w:val="21"/>
              </w:rPr>
              <w:t>③新签协议：人才所在单位发起协议签订流程，填写聘用单位、人才项目、聘期年限、聘期开始时间、聘期结束时间等，提交给人才办审核，人才办可审核通过、不通过，或退回修改，填写审核意见。</w:t>
            </w:r>
          </w:p>
          <w:p w14:paraId="2F490A29">
            <w:pPr>
              <w:spacing w:line="520" w:lineRule="exact"/>
              <w:rPr>
                <w:rFonts w:hint="eastAsia" w:ascii="宋体" w:hAnsi="宋体" w:cs="宋体"/>
                <w:bCs/>
                <w:sz w:val="21"/>
                <w:szCs w:val="21"/>
              </w:rPr>
            </w:pPr>
            <w:r>
              <w:rPr>
                <w:rFonts w:hint="eastAsia" w:ascii="宋体" w:hAnsi="宋体" w:cs="宋体"/>
                <w:bCs/>
                <w:sz w:val="21"/>
                <w:szCs w:val="21"/>
              </w:rPr>
              <w:t>④协议到期提醒：支持按照规定时间规则，提前预警出人才协议即将到期的人员信息列表。可通过系统手动或自动提醒相关人员办理续签手续，提醒方式可以是邮件、短信、系统站内消息等。</w:t>
            </w:r>
          </w:p>
          <w:p w14:paraId="2017951F">
            <w:pPr>
              <w:spacing w:line="520" w:lineRule="exact"/>
              <w:rPr>
                <w:rFonts w:hint="eastAsia" w:ascii="宋体" w:hAnsi="宋体" w:cs="宋体"/>
                <w:bCs/>
                <w:sz w:val="21"/>
                <w:szCs w:val="21"/>
              </w:rPr>
            </w:pPr>
            <w:r>
              <w:rPr>
                <w:rFonts w:hint="eastAsia" w:ascii="宋体" w:hAnsi="宋体" w:cs="宋体"/>
                <w:bCs/>
                <w:sz w:val="21"/>
                <w:szCs w:val="21"/>
              </w:rPr>
              <w:t>⑤续签协议：人才所在单位发起协议续签流程，提交给人才办审核，人才办可审核通过、不通过，或退回修改，填写审核意见。</w:t>
            </w:r>
          </w:p>
          <w:p w14:paraId="43C09204">
            <w:pPr>
              <w:spacing w:line="520" w:lineRule="exact"/>
              <w:rPr>
                <w:rFonts w:hint="eastAsia" w:ascii="宋体" w:hAnsi="宋体" w:cs="宋体"/>
                <w:bCs/>
                <w:sz w:val="21"/>
                <w:szCs w:val="21"/>
              </w:rPr>
            </w:pPr>
            <w:r>
              <w:rPr>
                <w:rFonts w:hint="eastAsia" w:ascii="宋体" w:hAnsi="宋体" w:cs="宋体"/>
                <w:bCs/>
                <w:sz w:val="21"/>
                <w:szCs w:val="21"/>
              </w:rPr>
              <w:t>⑥解除协议：人才办可登记协议解除日期、解除原因。协议解除后，协议记录变为历史协议信息。</w:t>
            </w:r>
          </w:p>
          <w:p w14:paraId="4DAE6F6E">
            <w:pPr>
              <w:spacing w:line="520" w:lineRule="exact"/>
              <w:rPr>
                <w:rFonts w:hint="eastAsia" w:ascii="宋体" w:hAnsi="宋体" w:cs="宋体"/>
                <w:bCs/>
                <w:sz w:val="21"/>
                <w:szCs w:val="21"/>
              </w:rPr>
            </w:pPr>
            <w:r>
              <w:rPr>
                <w:rFonts w:hint="eastAsia" w:ascii="宋体" w:hAnsi="宋体" w:cs="宋体"/>
                <w:bCs/>
                <w:sz w:val="21"/>
                <w:szCs w:val="21"/>
              </w:rPr>
              <w:t>17.4.人才经费管理</w:t>
            </w:r>
          </w:p>
          <w:p w14:paraId="37F5AFD8">
            <w:pPr>
              <w:spacing w:line="520" w:lineRule="exact"/>
              <w:rPr>
                <w:rFonts w:hint="eastAsia" w:ascii="宋体" w:hAnsi="宋体" w:cs="宋体"/>
                <w:bCs/>
                <w:sz w:val="21"/>
                <w:szCs w:val="21"/>
              </w:rPr>
            </w:pPr>
            <w:r>
              <w:rPr>
                <w:rFonts w:hint="eastAsia" w:ascii="宋体" w:hAnsi="宋体" w:cs="宋体"/>
                <w:bCs/>
                <w:sz w:val="21"/>
                <w:szCs w:val="21"/>
              </w:rPr>
              <w:t>实现对高层次人才配套的各项政策的执行落实情况管理，包括科研启动金、安家费信息登记与管理。</w:t>
            </w:r>
          </w:p>
          <w:p w14:paraId="6767C5FC">
            <w:pPr>
              <w:spacing w:line="520" w:lineRule="exact"/>
              <w:rPr>
                <w:rFonts w:hint="eastAsia" w:ascii="宋体" w:hAnsi="宋体" w:cs="宋体"/>
                <w:bCs/>
                <w:sz w:val="21"/>
                <w:szCs w:val="21"/>
              </w:rPr>
            </w:pPr>
            <w:r>
              <w:rPr>
                <w:rFonts w:hint="eastAsia" w:ascii="宋体" w:hAnsi="宋体" w:cs="宋体"/>
                <w:bCs/>
                <w:sz w:val="21"/>
                <w:szCs w:val="21"/>
              </w:rPr>
              <w:t>①科研启动金管理：根据人才项目设置科研启动经费总金额，支持导入经费的发放详情，系统根据人才经费的发放记录，实时统计已发放经费、剩余金额，支持导出科研启动经费的数据汇总表。</w:t>
            </w:r>
          </w:p>
          <w:p w14:paraId="1323508E">
            <w:pPr>
              <w:spacing w:line="520" w:lineRule="exact"/>
              <w:rPr>
                <w:rFonts w:hint="eastAsia" w:ascii="宋体" w:hAnsi="宋体" w:cs="宋体"/>
                <w:bCs/>
                <w:sz w:val="21"/>
                <w:szCs w:val="21"/>
              </w:rPr>
            </w:pPr>
            <w:r>
              <w:rPr>
                <w:rFonts w:hint="eastAsia" w:ascii="宋体" w:hAnsi="宋体" w:cs="宋体"/>
                <w:bCs/>
                <w:sz w:val="21"/>
                <w:szCs w:val="21"/>
              </w:rPr>
              <w:t>②安家费管理：根据人才协议设置安家费总金额，支持导入安家费的发放详情，系统根据安家费的发放记录，实时统计已发放经费、剩余金额。人才办可查询人才的安家费发放记录。</w:t>
            </w:r>
          </w:p>
          <w:p w14:paraId="4CD622AA">
            <w:pPr>
              <w:spacing w:line="520" w:lineRule="exact"/>
              <w:rPr>
                <w:rFonts w:hint="eastAsia" w:ascii="宋体" w:hAnsi="宋体" w:cs="宋体"/>
                <w:bCs/>
                <w:sz w:val="21"/>
                <w:szCs w:val="21"/>
              </w:rPr>
            </w:pPr>
            <w:r>
              <w:rPr>
                <w:rFonts w:hint="eastAsia" w:ascii="宋体" w:hAnsi="宋体" w:cs="宋体"/>
                <w:bCs/>
                <w:sz w:val="21"/>
                <w:szCs w:val="21"/>
              </w:rPr>
              <w:t>17.5.人才考核管理</w:t>
            </w:r>
          </w:p>
          <w:p w14:paraId="4DFCADBF">
            <w:pPr>
              <w:spacing w:line="520" w:lineRule="exact"/>
              <w:rPr>
                <w:rFonts w:hint="eastAsia" w:ascii="宋体" w:hAnsi="宋体" w:cs="宋体"/>
                <w:bCs/>
                <w:sz w:val="21"/>
                <w:szCs w:val="21"/>
              </w:rPr>
            </w:pPr>
            <w:r>
              <w:rPr>
                <w:rFonts w:hint="eastAsia" w:ascii="宋体" w:hAnsi="宋体" w:cs="宋体"/>
                <w:bCs/>
                <w:sz w:val="21"/>
                <w:szCs w:val="21"/>
              </w:rPr>
              <w:t>高层次人才考核评估工作，是完善人才评价与考核体系，切实发挥高层次人才在教学、科研及学科建设中的重要作用，使人才引育工作进入良性发展轨道，提升人才资源使用效益的关键环节。通过系统可以实现对高层次人才聘期考核管理，结合聘期任务及聘期内业绩完成情况进行评估，可以实现全线上考核管理。</w:t>
            </w:r>
          </w:p>
          <w:p w14:paraId="71A257FE">
            <w:pPr>
              <w:spacing w:line="520" w:lineRule="exact"/>
              <w:rPr>
                <w:rFonts w:hint="eastAsia" w:ascii="宋体" w:hAnsi="宋体" w:cs="宋体"/>
                <w:bCs/>
                <w:sz w:val="21"/>
                <w:szCs w:val="21"/>
              </w:rPr>
            </w:pPr>
            <w:r>
              <w:rPr>
                <w:rFonts w:hint="eastAsia" w:ascii="宋体" w:hAnsi="宋体" w:cs="宋体"/>
                <w:bCs/>
                <w:sz w:val="21"/>
                <w:szCs w:val="21"/>
              </w:rPr>
              <w:t>①考核批次：根据人才合同聘期时间及任务要求，设置期满考核批次，绑定期满考核方案；初始化考核人员设置完成后，即可启动考核填报。</w:t>
            </w:r>
          </w:p>
          <w:p w14:paraId="7C16A2C8">
            <w:pPr>
              <w:spacing w:line="520" w:lineRule="exact"/>
              <w:rPr>
                <w:rFonts w:hint="eastAsia" w:ascii="宋体" w:hAnsi="宋体" w:cs="宋体"/>
                <w:bCs/>
                <w:sz w:val="21"/>
                <w:szCs w:val="21"/>
              </w:rPr>
            </w:pPr>
            <w:r>
              <w:rPr>
                <w:rFonts w:hint="eastAsia" w:ascii="宋体" w:hAnsi="宋体" w:cs="宋体"/>
                <w:bCs/>
                <w:sz w:val="21"/>
                <w:szCs w:val="21"/>
              </w:rPr>
              <w:t>②个人填报：考核人员在线填报目标任务完成情况，总结聘期工作，人事基本信息可以从教职工信息库读取，教学信息、科研信息等可以通过与学校数据中心或教务系统、科研系统对接同步获取，实现自动填报，教师只需做信息确认并可上传相关附件。</w:t>
            </w:r>
          </w:p>
          <w:p w14:paraId="0B6FC813">
            <w:pPr>
              <w:spacing w:line="520" w:lineRule="exact"/>
              <w:rPr>
                <w:rFonts w:hint="eastAsia" w:ascii="宋体" w:hAnsi="宋体" w:cs="宋体"/>
                <w:bCs/>
                <w:sz w:val="21"/>
                <w:szCs w:val="21"/>
              </w:rPr>
            </w:pPr>
            <w:r>
              <w:rPr>
                <w:rFonts w:hint="eastAsia" w:ascii="宋体" w:hAnsi="宋体" w:cs="宋体"/>
                <w:bCs/>
                <w:sz w:val="21"/>
                <w:szCs w:val="21"/>
              </w:rPr>
              <w:t>③单位评议：二级学院根据考核人员的工作业绩、日常表现及任期目标等，提出考核意见。</w:t>
            </w:r>
          </w:p>
          <w:p w14:paraId="5A5B264A">
            <w:pPr>
              <w:spacing w:line="520" w:lineRule="exact"/>
              <w:rPr>
                <w:rFonts w:hint="eastAsia" w:ascii="宋体" w:hAnsi="宋体" w:cs="宋体"/>
                <w:bCs/>
                <w:sz w:val="21"/>
                <w:szCs w:val="21"/>
              </w:rPr>
            </w:pPr>
            <w:r>
              <w:rPr>
                <w:rFonts w:hint="eastAsia" w:ascii="宋体" w:hAnsi="宋体" w:cs="宋体"/>
                <w:bCs/>
                <w:sz w:val="21"/>
                <w:szCs w:val="21"/>
              </w:rPr>
              <w:t>④组织人事部审核：组织人事部对二级学院提交的考核意见进行确认，并上报到人才评价委员会进行评定。</w:t>
            </w:r>
          </w:p>
          <w:p w14:paraId="75D8D738">
            <w:pPr>
              <w:spacing w:line="520" w:lineRule="exact"/>
              <w:rPr>
                <w:rFonts w:hint="eastAsia" w:ascii="宋体" w:hAnsi="宋体" w:cs="宋体"/>
                <w:bCs/>
                <w:sz w:val="21"/>
                <w:szCs w:val="21"/>
              </w:rPr>
            </w:pPr>
            <w:r>
              <w:rPr>
                <w:rFonts w:hint="eastAsia" w:ascii="宋体" w:hAnsi="宋体" w:cs="宋体"/>
                <w:bCs/>
                <w:sz w:val="21"/>
                <w:szCs w:val="21"/>
              </w:rPr>
              <w:t>⑤人才评价委员会评定：人才评价委员会可查看考核人员申报表，并对考核结果进行评定。</w:t>
            </w:r>
          </w:p>
          <w:p w14:paraId="1AC58698">
            <w:pPr>
              <w:spacing w:line="520" w:lineRule="exact"/>
              <w:rPr>
                <w:rFonts w:hint="eastAsia" w:ascii="宋体" w:hAnsi="宋体" w:cs="宋体"/>
                <w:bCs/>
                <w:sz w:val="21"/>
                <w:szCs w:val="21"/>
              </w:rPr>
            </w:pPr>
            <w:r>
              <w:rPr>
                <w:rFonts w:hint="eastAsia" w:ascii="宋体" w:hAnsi="宋体" w:cs="宋体"/>
                <w:bCs/>
                <w:sz w:val="21"/>
                <w:szCs w:val="21"/>
              </w:rPr>
              <w:t>⑥公示管理：可灵活设置公示方案，包括公示时间、公示人员范围、公示内容等。教职工可进入系统查看公示内容。</w:t>
            </w:r>
          </w:p>
          <w:p w14:paraId="26C92374">
            <w:pPr>
              <w:spacing w:line="520" w:lineRule="exact"/>
              <w:rPr>
                <w:rFonts w:hint="eastAsia" w:ascii="宋体" w:hAnsi="宋体" w:cs="宋体"/>
                <w:bCs/>
                <w:sz w:val="21"/>
                <w:szCs w:val="21"/>
              </w:rPr>
            </w:pPr>
            <w:r>
              <w:rPr>
                <w:rFonts w:hint="eastAsia" w:ascii="宋体" w:hAnsi="宋体" w:cs="宋体"/>
                <w:bCs/>
                <w:sz w:val="21"/>
                <w:szCs w:val="21"/>
              </w:rPr>
              <w:t>⑦结果管理：人才考核的结果通过系统进行统计，组织人事部可以查看考核结果，进行聘用合同签订。</w:t>
            </w:r>
          </w:p>
          <w:p w14:paraId="0D61CF64">
            <w:pPr>
              <w:spacing w:line="520" w:lineRule="exact"/>
              <w:rPr>
                <w:rFonts w:hint="eastAsia" w:ascii="宋体" w:hAnsi="宋体" w:cs="宋体"/>
                <w:bCs/>
                <w:sz w:val="21"/>
                <w:szCs w:val="21"/>
              </w:rPr>
            </w:pPr>
            <w:r>
              <w:rPr>
                <w:rFonts w:hint="eastAsia" w:ascii="宋体" w:hAnsi="宋体" w:cs="宋体"/>
                <w:bCs/>
                <w:sz w:val="21"/>
                <w:szCs w:val="21"/>
              </w:rPr>
              <w:t>18.数据上报服务</w:t>
            </w:r>
          </w:p>
          <w:p w14:paraId="7C5DF648">
            <w:pPr>
              <w:spacing w:line="520" w:lineRule="exact"/>
              <w:rPr>
                <w:rFonts w:hint="eastAsia" w:ascii="宋体" w:hAnsi="宋体" w:cs="宋体"/>
                <w:bCs/>
                <w:sz w:val="21"/>
                <w:szCs w:val="21"/>
              </w:rPr>
            </w:pPr>
            <w:r>
              <w:rPr>
                <w:rFonts w:hint="eastAsia" w:ascii="宋体" w:hAnsi="宋体" w:cs="宋体"/>
                <w:bCs/>
                <w:sz w:val="21"/>
                <w:szCs w:val="21"/>
              </w:rPr>
              <w:t>数据上报需提供各类上报给主管部门的数据及表单，包括高基表一表通等。可按主管部门的数据及表单格式要求一键生成各种表单，支持表单的下载和打印。</w:t>
            </w:r>
          </w:p>
          <w:p w14:paraId="3BBE28E2">
            <w:pPr>
              <w:spacing w:line="520" w:lineRule="exact"/>
              <w:rPr>
                <w:rFonts w:hint="eastAsia" w:ascii="宋体" w:hAnsi="宋体" w:cs="宋体"/>
                <w:bCs/>
                <w:sz w:val="21"/>
                <w:szCs w:val="21"/>
              </w:rPr>
            </w:pPr>
            <w:r>
              <w:rPr>
                <w:rFonts w:hint="eastAsia" w:ascii="宋体" w:hAnsi="宋体" w:cs="宋体"/>
                <w:bCs/>
                <w:sz w:val="21"/>
                <w:szCs w:val="21"/>
              </w:rPr>
              <w:t>18.1.高基表/一表通</w:t>
            </w:r>
          </w:p>
          <w:p w14:paraId="09334258">
            <w:pPr>
              <w:spacing w:line="520" w:lineRule="exact"/>
              <w:rPr>
                <w:rFonts w:hint="eastAsia" w:ascii="宋体" w:hAnsi="宋体" w:cs="宋体"/>
                <w:bCs/>
                <w:sz w:val="21"/>
                <w:szCs w:val="21"/>
              </w:rPr>
            </w:pPr>
            <w:r>
              <w:rPr>
                <w:rFonts w:hint="eastAsia" w:ascii="宋体" w:hAnsi="宋体" w:cs="宋体"/>
                <w:bCs/>
                <w:sz w:val="21"/>
                <w:szCs w:val="21"/>
              </w:rPr>
              <w:t>包括《教职工情况》、《专任教师、聘请校外教师岗位分类情况》、《专任教师、聘请校外教师学历（位）情况》、《专任教师分年龄情况》、《分学科专任教师数）、《教职工中其他情况》。 支持以excel、pdf、图片等格式导出报表，支持直接在线打印。</w:t>
            </w:r>
          </w:p>
          <w:p w14:paraId="0E84CE16">
            <w:pPr>
              <w:spacing w:line="520" w:lineRule="exact"/>
              <w:rPr>
                <w:rFonts w:hint="eastAsia" w:ascii="宋体" w:hAnsi="宋体" w:cs="宋体"/>
                <w:bCs/>
                <w:sz w:val="21"/>
                <w:szCs w:val="21"/>
              </w:rPr>
            </w:pPr>
            <w:r>
              <w:rPr>
                <w:rFonts w:hint="eastAsia" w:ascii="宋体" w:hAnsi="宋体" w:cs="宋体"/>
                <w:bCs/>
                <w:sz w:val="21"/>
                <w:szCs w:val="21"/>
              </w:rPr>
              <w:t>19.人事档案数字化</w:t>
            </w:r>
          </w:p>
          <w:p w14:paraId="17E2EA9A">
            <w:pPr>
              <w:spacing w:line="520" w:lineRule="exact"/>
              <w:rPr>
                <w:rFonts w:hint="eastAsia" w:ascii="宋体" w:hAnsi="宋体" w:cs="宋体"/>
                <w:bCs/>
                <w:sz w:val="21"/>
                <w:szCs w:val="21"/>
              </w:rPr>
            </w:pPr>
            <w:r>
              <w:rPr>
                <w:rFonts w:hint="eastAsia" w:ascii="宋体" w:hAnsi="宋体" w:cs="宋体"/>
                <w:bCs/>
                <w:sz w:val="21"/>
                <w:szCs w:val="21"/>
              </w:rPr>
              <w:t>19.1.在职教职工人事档案数字化</w:t>
            </w:r>
          </w:p>
          <w:p w14:paraId="774EC9CB">
            <w:pPr>
              <w:spacing w:line="520" w:lineRule="exact"/>
              <w:rPr>
                <w:rFonts w:hint="eastAsia" w:ascii="宋体" w:hAnsi="宋体" w:cs="宋体"/>
                <w:bCs/>
                <w:sz w:val="21"/>
                <w:szCs w:val="21"/>
              </w:rPr>
            </w:pPr>
            <w:r>
              <w:rPr>
                <w:rFonts w:hint="eastAsia" w:ascii="宋体" w:hAnsi="宋体" w:cs="宋体"/>
                <w:bCs/>
                <w:sz w:val="21"/>
                <w:szCs w:val="21"/>
              </w:rPr>
              <w:t>支持将在职教职工在校人事档案扫描为pdf格式后，上传系统建档，一人一档，形成数据库，按查阅权限随时可点击查阅，支持导出和直接打印。</w:t>
            </w:r>
          </w:p>
          <w:p w14:paraId="24A06543">
            <w:pPr>
              <w:spacing w:line="520" w:lineRule="exact"/>
              <w:rPr>
                <w:rFonts w:hint="eastAsia" w:ascii="宋体" w:hAnsi="宋体" w:cs="宋体"/>
                <w:bCs/>
                <w:sz w:val="21"/>
                <w:szCs w:val="21"/>
              </w:rPr>
            </w:pPr>
            <w:r>
              <w:rPr>
                <w:rFonts w:hint="eastAsia" w:ascii="宋体" w:hAnsi="宋体" w:cs="宋体"/>
                <w:bCs/>
                <w:sz w:val="21"/>
                <w:szCs w:val="21"/>
              </w:rPr>
              <w:t>19.2.入职建档</w:t>
            </w:r>
          </w:p>
          <w:p w14:paraId="38598033">
            <w:pPr>
              <w:spacing w:line="520" w:lineRule="exact"/>
              <w:rPr>
                <w:rFonts w:hint="eastAsia" w:ascii="宋体" w:hAnsi="宋体" w:cs="宋体"/>
                <w:bCs/>
                <w:sz w:val="21"/>
                <w:szCs w:val="21"/>
              </w:rPr>
            </w:pPr>
            <w:r>
              <w:rPr>
                <w:rFonts w:hint="eastAsia" w:ascii="宋体" w:hAnsi="宋体" w:cs="宋体"/>
                <w:bCs/>
                <w:sz w:val="21"/>
                <w:szCs w:val="21"/>
              </w:rPr>
              <w:t>新进教职工在完善入职流程填写并上传个人相关资料（如证件照、身份证、毕业证、学位证、离职证明等），则自动生成人事档案号，并形成数字人事档案。</w:t>
            </w:r>
          </w:p>
          <w:p w14:paraId="5C97FB98">
            <w:pPr>
              <w:spacing w:line="520" w:lineRule="exact"/>
              <w:rPr>
                <w:rFonts w:hint="eastAsia" w:ascii="宋体" w:hAnsi="宋体" w:cs="宋体"/>
                <w:bCs/>
                <w:sz w:val="21"/>
                <w:szCs w:val="21"/>
              </w:rPr>
            </w:pPr>
            <w:r>
              <w:rPr>
                <w:rFonts w:hint="eastAsia" w:ascii="宋体" w:hAnsi="宋体" w:cs="宋体"/>
                <w:bCs/>
                <w:sz w:val="21"/>
                <w:szCs w:val="21"/>
              </w:rPr>
              <w:t>19.3.日常维护</w:t>
            </w:r>
          </w:p>
          <w:p w14:paraId="4D9BD29B">
            <w:pPr>
              <w:spacing w:line="520" w:lineRule="exact"/>
              <w:rPr>
                <w:rFonts w:hint="eastAsia" w:ascii="宋体" w:hAnsi="宋体" w:cs="宋体"/>
                <w:bCs/>
                <w:sz w:val="21"/>
                <w:szCs w:val="21"/>
              </w:rPr>
            </w:pPr>
            <w:r>
              <w:rPr>
                <w:rFonts w:hint="eastAsia" w:ascii="宋体" w:hAnsi="宋体" w:cs="宋体"/>
                <w:bCs/>
                <w:sz w:val="21"/>
                <w:szCs w:val="21"/>
              </w:rPr>
              <w:t>教职工在校期间的岗位变动、薪酬变化、职务晋升、职称晋升、学年度考核结果等所形成的档案材料，经教职工本人（或二级单位）上传，组织人事部审核后纳入其数字人事档案，或由组织人事部直接上传纳入教职工数字人事档案。</w:t>
            </w:r>
          </w:p>
          <w:p w14:paraId="6DEB5CB9">
            <w:pPr>
              <w:spacing w:line="520" w:lineRule="exact"/>
              <w:rPr>
                <w:rFonts w:hint="eastAsia" w:ascii="宋体" w:hAnsi="宋体" w:cs="宋体"/>
                <w:bCs/>
                <w:sz w:val="21"/>
                <w:szCs w:val="21"/>
              </w:rPr>
            </w:pPr>
            <w:r>
              <w:rPr>
                <w:rFonts w:hint="eastAsia" w:ascii="宋体" w:hAnsi="宋体" w:cs="宋体"/>
                <w:bCs/>
                <w:sz w:val="21"/>
                <w:szCs w:val="21"/>
              </w:rPr>
              <w:t>20.人力资源数据分析</w:t>
            </w:r>
          </w:p>
          <w:p w14:paraId="79510BEE">
            <w:pPr>
              <w:spacing w:line="520" w:lineRule="exact"/>
              <w:rPr>
                <w:rFonts w:hint="eastAsia" w:ascii="宋体" w:hAnsi="宋体" w:cs="宋体"/>
                <w:bCs/>
                <w:sz w:val="21"/>
                <w:szCs w:val="21"/>
              </w:rPr>
            </w:pPr>
            <w:r>
              <w:rPr>
                <w:rFonts w:hint="eastAsia" w:ascii="宋体" w:hAnsi="宋体" w:cs="宋体"/>
                <w:bCs/>
                <w:sz w:val="21"/>
                <w:szCs w:val="21"/>
              </w:rPr>
              <w:t>人力资源数据分析是一个为学校中高管理层提供“一站式”决策支持的管理信息中心平台。可基于教职工全方位数据，提供领导关心的各类名册和统计分析报表，发挥数据的价值，逐步提升决策支持能力。校领导、处领导、各学院领导通过领导桌面，可以实时全面的了解全校/全院的人事情况、发展趋势，为决策支持服务。</w:t>
            </w:r>
          </w:p>
          <w:p w14:paraId="3543AADD">
            <w:pPr>
              <w:spacing w:line="520" w:lineRule="exact"/>
              <w:rPr>
                <w:rFonts w:hint="eastAsia" w:ascii="宋体" w:hAnsi="宋体" w:cs="宋体"/>
                <w:bCs/>
                <w:sz w:val="21"/>
                <w:szCs w:val="21"/>
              </w:rPr>
            </w:pPr>
            <w:r>
              <w:rPr>
                <w:rFonts w:hint="eastAsia" w:ascii="宋体" w:hAnsi="宋体" w:cs="宋体"/>
                <w:bCs/>
                <w:sz w:val="21"/>
                <w:szCs w:val="21"/>
              </w:rPr>
              <w:t>20.1.数字看板</w:t>
            </w:r>
          </w:p>
          <w:p w14:paraId="7FFEAE6F">
            <w:pPr>
              <w:spacing w:line="520" w:lineRule="exact"/>
              <w:rPr>
                <w:rFonts w:hint="eastAsia" w:ascii="宋体" w:hAnsi="宋体" w:cs="宋体"/>
                <w:bCs/>
                <w:sz w:val="21"/>
                <w:szCs w:val="21"/>
              </w:rPr>
            </w:pPr>
            <w:r>
              <w:rPr>
                <w:rFonts w:hint="eastAsia" w:ascii="宋体" w:hAnsi="宋体" w:cs="宋体"/>
                <w:bCs/>
                <w:sz w:val="21"/>
                <w:szCs w:val="21"/>
              </w:rPr>
              <w:t>20.1.1.人员分析</w:t>
            </w:r>
          </w:p>
          <w:p w14:paraId="6876C378">
            <w:pPr>
              <w:spacing w:line="520" w:lineRule="exact"/>
              <w:rPr>
                <w:rFonts w:hint="eastAsia" w:ascii="宋体" w:hAnsi="宋体" w:cs="宋体"/>
                <w:bCs/>
                <w:sz w:val="21"/>
                <w:szCs w:val="21"/>
              </w:rPr>
            </w:pPr>
            <w:r>
              <w:rPr>
                <w:rFonts w:hint="eastAsia" w:ascii="宋体" w:hAnsi="宋体" w:cs="宋体"/>
                <w:bCs/>
                <w:sz w:val="21"/>
                <w:szCs w:val="21"/>
              </w:rPr>
              <w:t>系统支持各类人员分析，包括人员总量、教师队伍、高层次人才、管理人员、教辅人员等信息分布统计。</w:t>
            </w:r>
          </w:p>
          <w:p w14:paraId="2F35C935">
            <w:pPr>
              <w:spacing w:line="520" w:lineRule="exact"/>
              <w:rPr>
                <w:rFonts w:hint="eastAsia" w:ascii="宋体" w:hAnsi="宋体" w:cs="宋体"/>
                <w:bCs/>
                <w:sz w:val="21"/>
                <w:szCs w:val="21"/>
              </w:rPr>
            </w:pPr>
            <w:r>
              <w:rPr>
                <w:rFonts w:hint="eastAsia" w:ascii="宋体" w:hAnsi="宋体" w:cs="宋体"/>
                <w:bCs/>
                <w:sz w:val="21"/>
                <w:szCs w:val="21"/>
              </w:rPr>
              <w:t>①人员总量分析：教职工总数、在职人员总数、离退休人员总数、离校人员总数 ，其中在职人员总数包括在编人员总数（教师、实验技术人员、专职科研人员、管理人员）、外籍人员总数、外聘人员总数、非事业编人员总数（校聘、自聘）。</w:t>
            </w:r>
          </w:p>
          <w:p w14:paraId="3D74BE56">
            <w:pPr>
              <w:spacing w:line="520" w:lineRule="exact"/>
              <w:rPr>
                <w:rFonts w:hint="eastAsia" w:ascii="宋体" w:hAnsi="宋体" w:cs="宋体"/>
                <w:bCs/>
                <w:sz w:val="21"/>
                <w:szCs w:val="21"/>
              </w:rPr>
            </w:pPr>
            <w:r>
              <w:rPr>
                <w:rFonts w:hint="eastAsia" w:ascii="宋体" w:hAnsi="宋体" w:cs="宋体"/>
                <w:bCs/>
                <w:sz w:val="21"/>
                <w:szCs w:val="21"/>
              </w:rPr>
              <w:t>②专任教师分析：围绕专任教师的类别、性别、年龄、学历、学科、岗位、职称等多维度数量、占比、分布、趋势分析图表，如学历结构（博士、硕士、本科及以下）、职称结构（正高级、副高级、中级及以下）、年龄结构（35岁以下、36-35岁、46-55、56-60、60以上）、人员类别等数量、占比、分布图；专业教师（当年引进、当前退休、当年离校、当年净增）当年变动数量及分布图；专任教师（近五年引进、退休、离校、净增）变动数量发展趋势图。</w:t>
            </w:r>
          </w:p>
          <w:p w14:paraId="42B6B90A">
            <w:pPr>
              <w:spacing w:line="520" w:lineRule="exact"/>
              <w:rPr>
                <w:rFonts w:hint="eastAsia" w:ascii="宋体" w:hAnsi="宋体" w:cs="宋体"/>
                <w:bCs/>
                <w:sz w:val="21"/>
                <w:szCs w:val="21"/>
              </w:rPr>
            </w:pPr>
            <w:r>
              <w:rPr>
                <w:rFonts w:hint="eastAsia" w:ascii="宋体" w:hAnsi="宋体" w:cs="宋体"/>
                <w:bCs/>
                <w:sz w:val="21"/>
                <w:szCs w:val="21"/>
              </w:rPr>
              <w:t>③高层次人才分析：围绕高层次人才的人才称号、年龄、性别、学历、岗位、职称、学科多维度数量、占比、分布、趋势分析图表，如人才称号（国家级称号、省部级称号、校级称号、其他）数量及分布图；年龄结构、学历结构、人员类别等数量、占比、分布图。</w:t>
            </w:r>
          </w:p>
          <w:p w14:paraId="76E59FA1">
            <w:pPr>
              <w:spacing w:line="520" w:lineRule="exact"/>
              <w:rPr>
                <w:rFonts w:hint="eastAsia" w:ascii="宋体" w:hAnsi="宋体" w:cs="宋体"/>
                <w:bCs/>
                <w:sz w:val="21"/>
                <w:szCs w:val="21"/>
              </w:rPr>
            </w:pPr>
            <w:r>
              <w:rPr>
                <w:rFonts w:hint="eastAsia" w:ascii="宋体" w:hAnsi="宋体" w:cs="宋体"/>
                <w:bCs/>
                <w:sz w:val="21"/>
                <w:szCs w:val="21"/>
              </w:rPr>
              <w:t>④管理人员分析：围绕管理人员的类别、年龄、性别、学历、岗位等多维度数量、占比、分布、趋势分析图表，如学历结构、年龄结构、人员类别、岗位分级等数量、占比、分布图。</w:t>
            </w:r>
          </w:p>
          <w:p w14:paraId="6229CC03">
            <w:pPr>
              <w:spacing w:line="520" w:lineRule="exact"/>
              <w:rPr>
                <w:rFonts w:hint="eastAsia" w:ascii="宋体" w:hAnsi="宋体" w:cs="宋体"/>
                <w:bCs/>
                <w:sz w:val="21"/>
                <w:szCs w:val="21"/>
              </w:rPr>
            </w:pPr>
            <w:r>
              <w:rPr>
                <w:rFonts w:hint="eastAsia" w:ascii="宋体" w:hAnsi="宋体" w:cs="宋体"/>
                <w:bCs/>
                <w:sz w:val="21"/>
                <w:szCs w:val="21"/>
              </w:rPr>
              <w:t>⑤教辅人员分析：围绕教辅人员的类别、年龄、性别、学历、岗位等多维度数量、占比、分布、趋势分析图表，如学历结构、年龄结构、人员类别、岗位分级等数量、占比、分布图；近五年变动数量及发展趋势图。</w:t>
            </w:r>
          </w:p>
          <w:p w14:paraId="788477E9">
            <w:pPr>
              <w:spacing w:line="520" w:lineRule="exact"/>
              <w:rPr>
                <w:rFonts w:hint="eastAsia" w:ascii="宋体" w:hAnsi="宋体" w:cs="宋体"/>
                <w:bCs/>
                <w:sz w:val="21"/>
                <w:szCs w:val="21"/>
              </w:rPr>
            </w:pPr>
            <w:r>
              <w:rPr>
                <w:rFonts w:hint="eastAsia" w:ascii="宋体" w:hAnsi="宋体" w:cs="宋体"/>
                <w:bCs/>
                <w:sz w:val="21"/>
                <w:szCs w:val="21"/>
              </w:rPr>
              <w:t>20.1.2.主题分析</w:t>
            </w:r>
          </w:p>
          <w:p w14:paraId="0CF92A45">
            <w:pPr>
              <w:spacing w:line="520" w:lineRule="exact"/>
              <w:rPr>
                <w:rFonts w:hint="eastAsia" w:ascii="宋体" w:hAnsi="宋体" w:cs="宋体"/>
                <w:bCs/>
                <w:sz w:val="21"/>
                <w:szCs w:val="21"/>
              </w:rPr>
            </w:pPr>
            <w:r>
              <w:rPr>
                <w:rFonts w:hint="eastAsia" w:ascii="宋体" w:hAnsi="宋体" w:cs="宋体"/>
                <w:bCs/>
                <w:sz w:val="21"/>
                <w:szCs w:val="21"/>
              </w:rPr>
              <w:t>系统支持各类业务主题分析，包括人才引进分析、人事异动分析、薪酬福利分析、单位分析等。</w:t>
            </w:r>
          </w:p>
          <w:p w14:paraId="4DD76006">
            <w:pPr>
              <w:spacing w:line="520" w:lineRule="exact"/>
              <w:rPr>
                <w:rFonts w:hint="eastAsia" w:ascii="宋体" w:hAnsi="宋体" w:cs="宋体"/>
                <w:bCs/>
                <w:sz w:val="21"/>
                <w:szCs w:val="21"/>
              </w:rPr>
            </w:pPr>
            <w:r>
              <w:rPr>
                <w:rFonts w:hint="eastAsia" w:ascii="宋体" w:hAnsi="宋体" w:cs="宋体"/>
                <w:bCs/>
                <w:sz w:val="21"/>
                <w:szCs w:val="21"/>
              </w:rPr>
              <w:t>①人才引进分析：可以基于应聘人员信息进行统计分析，如对应聘人员学历分布、性别构成、年龄分布、学科分布、国外背景、学缘结构等维度进行统计分析；对职位发布状态、简历遴选状态等进行统计分析。</w:t>
            </w:r>
          </w:p>
          <w:p w14:paraId="5A8BA08B">
            <w:pPr>
              <w:spacing w:line="520" w:lineRule="exact"/>
              <w:rPr>
                <w:rFonts w:hint="eastAsia" w:ascii="宋体" w:hAnsi="宋体" w:cs="宋体"/>
                <w:bCs/>
                <w:sz w:val="21"/>
                <w:szCs w:val="21"/>
              </w:rPr>
            </w:pPr>
            <w:r>
              <w:rPr>
                <w:rFonts w:hint="eastAsia" w:ascii="宋体" w:hAnsi="宋体" w:cs="宋体"/>
                <w:bCs/>
                <w:sz w:val="21"/>
                <w:szCs w:val="21"/>
              </w:rPr>
              <w:t>②人事异动分析：基于教职工入转调离信息进行统计分析，如报到入职人数、校内调动人数、行政职称任免人数、专业技术职务晋升人数、离退休人数、离校人数、去世人数等；基于历史数据还能进行对比统计分析，如近5年变动数及发展趋势。</w:t>
            </w:r>
          </w:p>
          <w:p w14:paraId="399AD095">
            <w:pPr>
              <w:spacing w:line="520" w:lineRule="exact"/>
              <w:rPr>
                <w:rFonts w:hint="eastAsia" w:ascii="宋体" w:hAnsi="宋体" w:cs="宋体"/>
                <w:bCs/>
                <w:sz w:val="21"/>
                <w:szCs w:val="21"/>
              </w:rPr>
            </w:pPr>
            <w:r>
              <w:rPr>
                <w:rFonts w:hint="eastAsia" w:ascii="宋体" w:hAnsi="宋体" w:cs="宋体"/>
                <w:bCs/>
                <w:sz w:val="21"/>
                <w:szCs w:val="21"/>
              </w:rPr>
              <w:t>③薪酬福利分析：可基于教职工薪酬数据，对不同职称、不同岗位级别等不同类别人员岗位工资、薪级工资、各类津补贴、绩效工资、社保、公积金、福利等收入水平进行统计分析。</w:t>
            </w:r>
          </w:p>
          <w:p w14:paraId="0340C70A">
            <w:pPr>
              <w:spacing w:line="520" w:lineRule="exact"/>
              <w:rPr>
                <w:rFonts w:hint="eastAsia" w:ascii="宋体" w:hAnsi="宋体" w:cs="宋体"/>
                <w:bCs/>
                <w:sz w:val="21"/>
                <w:szCs w:val="21"/>
              </w:rPr>
            </w:pPr>
            <w:r>
              <w:rPr>
                <w:rFonts w:hint="eastAsia" w:ascii="宋体" w:hAnsi="宋体" w:cs="宋体"/>
                <w:bCs/>
                <w:sz w:val="21"/>
                <w:szCs w:val="21"/>
              </w:rPr>
              <w:t>④单位分析：基于二级单位教职工基本信息、人事信息、师资信息、薪酬信息、考核信息等多维度数量、分布、占比分析，如各单位人员结构分析、各单位专任教师分析、各单位高层次人才分析等；基于绩效数据，还能分析各单位教学水平、科研水平。</w:t>
            </w:r>
          </w:p>
          <w:p w14:paraId="6720751D">
            <w:pPr>
              <w:spacing w:line="520" w:lineRule="exact"/>
              <w:rPr>
                <w:rFonts w:hint="eastAsia" w:ascii="宋体" w:hAnsi="宋体" w:cs="宋体"/>
                <w:bCs/>
                <w:sz w:val="21"/>
                <w:szCs w:val="21"/>
              </w:rPr>
            </w:pPr>
            <w:r>
              <w:rPr>
                <w:rFonts w:hint="eastAsia" w:ascii="宋体" w:hAnsi="宋体" w:cs="宋体"/>
                <w:bCs/>
                <w:sz w:val="21"/>
                <w:szCs w:val="21"/>
              </w:rPr>
              <w:t>20.2.数字看板设计工具</w:t>
            </w:r>
          </w:p>
          <w:p w14:paraId="6339D95D">
            <w:pPr>
              <w:spacing w:line="520" w:lineRule="exact"/>
              <w:rPr>
                <w:rFonts w:hint="eastAsia" w:ascii="宋体" w:hAnsi="宋体" w:cs="宋体"/>
                <w:bCs/>
                <w:sz w:val="21"/>
                <w:szCs w:val="21"/>
              </w:rPr>
            </w:pPr>
            <w:r>
              <w:rPr>
                <w:rFonts w:hint="eastAsia" w:ascii="宋体" w:hAnsi="宋体" w:cs="宋体"/>
                <w:bCs/>
                <w:sz w:val="21"/>
                <w:szCs w:val="21"/>
              </w:rPr>
              <w:t>系统提供数字看板设计工具，可灵活设计数字看板布局及分析指标，可设计看板的样式，如经典白、经典黑、科幻大屏等；可设计仪表盘上的统计报表的样式，如统计表、饼状图、折线图、柱状图、漏斗图、词云、数字统计、雷达图、折柱混合图、散点图等；可设置统计报表的颜色主题。支持数字看板的pc端、移动端布局设置，支持拖拉转方式布局，支持全屏预览。</w:t>
            </w:r>
          </w:p>
          <w:p w14:paraId="3D54B0FB">
            <w:pPr>
              <w:spacing w:line="520" w:lineRule="exact"/>
              <w:rPr>
                <w:rFonts w:hint="eastAsia" w:ascii="宋体" w:hAnsi="宋体" w:cs="宋体"/>
                <w:bCs/>
                <w:sz w:val="21"/>
                <w:szCs w:val="21"/>
              </w:rPr>
            </w:pPr>
            <w:r>
              <w:rPr>
                <w:rFonts w:hint="eastAsia" w:ascii="宋体" w:hAnsi="宋体" w:cs="宋体"/>
                <w:bCs/>
                <w:sz w:val="21"/>
                <w:szCs w:val="21"/>
              </w:rPr>
              <w:t>（三）基础平台内容</w:t>
            </w:r>
          </w:p>
          <w:p w14:paraId="7516721C">
            <w:pPr>
              <w:spacing w:line="520" w:lineRule="exact"/>
              <w:rPr>
                <w:rFonts w:hint="eastAsia" w:ascii="宋体" w:hAnsi="宋体" w:cs="宋体"/>
                <w:bCs/>
                <w:sz w:val="21"/>
                <w:szCs w:val="21"/>
              </w:rPr>
            </w:pPr>
            <w:r>
              <w:rPr>
                <w:rFonts w:hint="eastAsia" w:ascii="宋体" w:hAnsi="宋体" w:cs="宋体"/>
                <w:bCs/>
                <w:sz w:val="21"/>
                <w:szCs w:val="21"/>
              </w:rPr>
              <w:t>1.人事服务大厅</w:t>
            </w:r>
          </w:p>
          <w:p w14:paraId="79248FB5">
            <w:pPr>
              <w:spacing w:line="520" w:lineRule="exact"/>
              <w:rPr>
                <w:rFonts w:hint="eastAsia" w:ascii="宋体" w:hAnsi="宋体" w:cs="宋体"/>
                <w:bCs/>
                <w:sz w:val="21"/>
                <w:szCs w:val="21"/>
              </w:rPr>
            </w:pPr>
            <w:r>
              <w:rPr>
                <w:rFonts w:hint="eastAsia" w:ascii="宋体" w:hAnsi="宋体" w:cs="宋体"/>
                <w:bCs/>
                <w:sz w:val="21"/>
                <w:szCs w:val="21"/>
              </w:rPr>
              <w:t>提供面向教职工个人工作桌面，可将教职工做为不同角色身份的待办事项、消息提醒、应用服务等智能化的展示在平台首页。</w:t>
            </w:r>
          </w:p>
          <w:p w14:paraId="0AAA168E">
            <w:pPr>
              <w:spacing w:line="520" w:lineRule="exact"/>
              <w:rPr>
                <w:rFonts w:hint="eastAsia" w:ascii="宋体" w:hAnsi="宋体" w:cs="宋体"/>
                <w:bCs/>
                <w:sz w:val="21"/>
                <w:szCs w:val="21"/>
              </w:rPr>
            </w:pPr>
            <w:r>
              <w:rPr>
                <w:rFonts w:hint="eastAsia" w:ascii="宋体" w:hAnsi="宋体" w:cs="宋体"/>
                <w:bCs/>
                <w:sz w:val="21"/>
                <w:szCs w:val="21"/>
              </w:rPr>
              <w:t>1.1.待办中心</w:t>
            </w:r>
          </w:p>
          <w:p w14:paraId="3A300C8B">
            <w:pPr>
              <w:spacing w:line="520" w:lineRule="exact"/>
              <w:rPr>
                <w:rFonts w:hint="eastAsia" w:ascii="宋体" w:hAnsi="宋体" w:cs="宋体"/>
                <w:bCs/>
                <w:sz w:val="21"/>
                <w:szCs w:val="21"/>
              </w:rPr>
            </w:pPr>
            <w:r>
              <w:rPr>
                <w:rFonts w:hint="eastAsia" w:ascii="宋体" w:hAnsi="宋体" w:cs="宋体"/>
                <w:bCs/>
                <w:sz w:val="21"/>
                <w:szCs w:val="21"/>
              </w:rPr>
              <w:t>教职工可通过待办中心快速发起业务申请、审批各类待办事项。</w:t>
            </w:r>
          </w:p>
          <w:p w14:paraId="605E0ADC">
            <w:pPr>
              <w:spacing w:line="520" w:lineRule="exact"/>
              <w:rPr>
                <w:rFonts w:hint="eastAsia" w:ascii="宋体" w:hAnsi="宋体" w:cs="宋体"/>
                <w:bCs/>
                <w:sz w:val="21"/>
                <w:szCs w:val="21"/>
              </w:rPr>
            </w:pPr>
            <w:r>
              <w:rPr>
                <w:rFonts w:hint="eastAsia" w:ascii="宋体" w:hAnsi="宋体" w:cs="宋体"/>
                <w:bCs/>
                <w:sz w:val="21"/>
                <w:szCs w:val="21"/>
              </w:rPr>
              <w:t>①业务申请：教职工发起各项人事业务申请，历史申请记录可以查询，实时显示业务办理进度。</w:t>
            </w:r>
          </w:p>
          <w:p w14:paraId="12D37603">
            <w:pPr>
              <w:spacing w:line="520" w:lineRule="exact"/>
              <w:rPr>
                <w:rFonts w:hint="eastAsia" w:ascii="宋体" w:hAnsi="宋体" w:cs="宋体"/>
                <w:bCs/>
                <w:sz w:val="21"/>
                <w:szCs w:val="21"/>
              </w:rPr>
            </w:pPr>
            <w:r>
              <w:rPr>
                <w:rFonts w:hint="eastAsia" w:ascii="宋体" w:hAnsi="宋体" w:cs="宋体"/>
                <w:bCs/>
                <w:sz w:val="21"/>
                <w:szCs w:val="21"/>
              </w:rPr>
              <w:t>②业务审批：根据不同用户，显示不同的业务审批/待办事项；教职工可以直接办理和撤销。</w:t>
            </w:r>
          </w:p>
          <w:p w14:paraId="55630DA2">
            <w:pPr>
              <w:spacing w:line="520" w:lineRule="exact"/>
              <w:rPr>
                <w:rFonts w:hint="eastAsia" w:ascii="宋体" w:hAnsi="宋体" w:cs="宋体"/>
                <w:bCs/>
                <w:sz w:val="21"/>
                <w:szCs w:val="21"/>
              </w:rPr>
            </w:pPr>
            <w:r>
              <w:rPr>
                <w:rFonts w:hint="eastAsia" w:ascii="宋体" w:hAnsi="宋体" w:cs="宋体"/>
                <w:bCs/>
                <w:sz w:val="21"/>
                <w:szCs w:val="21"/>
              </w:rPr>
              <w:t>③业务抄送：支持查看所有抄送“我”的业务。</w:t>
            </w:r>
          </w:p>
          <w:p w14:paraId="540ED0B3">
            <w:pPr>
              <w:spacing w:line="520" w:lineRule="exact"/>
              <w:rPr>
                <w:rFonts w:hint="eastAsia" w:ascii="宋体" w:hAnsi="宋体" w:cs="宋体"/>
                <w:bCs/>
                <w:sz w:val="21"/>
                <w:szCs w:val="21"/>
              </w:rPr>
            </w:pPr>
            <w:r>
              <w:rPr>
                <w:rFonts w:hint="eastAsia" w:ascii="宋体" w:hAnsi="宋体" w:cs="宋体"/>
                <w:bCs/>
                <w:sz w:val="21"/>
                <w:szCs w:val="21"/>
              </w:rPr>
              <w:t>1.2.应用管理</w:t>
            </w:r>
          </w:p>
          <w:p w14:paraId="57693C7E">
            <w:pPr>
              <w:spacing w:line="520" w:lineRule="exact"/>
              <w:rPr>
                <w:rFonts w:hint="eastAsia" w:ascii="宋体" w:hAnsi="宋体" w:cs="宋体"/>
                <w:bCs/>
                <w:sz w:val="21"/>
                <w:szCs w:val="21"/>
              </w:rPr>
            </w:pPr>
            <w:r>
              <w:rPr>
                <w:rFonts w:hint="eastAsia" w:ascii="宋体" w:hAnsi="宋体" w:cs="宋体"/>
                <w:bCs/>
                <w:sz w:val="21"/>
                <w:szCs w:val="21"/>
              </w:rPr>
              <w:t>将各类人事应用服务展示在教职工工作桌面首页，教职工只需登陆一次，就可查看、访问其不同角色权限的应用服务。</w:t>
            </w:r>
          </w:p>
          <w:p w14:paraId="7B4282F7">
            <w:pPr>
              <w:spacing w:line="520" w:lineRule="exact"/>
              <w:rPr>
                <w:rFonts w:hint="eastAsia" w:ascii="宋体" w:hAnsi="宋体" w:cs="宋体"/>
                <w:bCs/>
                <w:sz w:val="21"/>
                <w:szCs w:val="21"/>
              </w:rPr>
            </w:pPr>
            <w:r>
              <w:rPr>
                <w:rFonts w:hint="eastAsia" w:ascii="宋体" w:hAnsi="宋体" w:cs="宋体"/>
                <w:bCs/>
                <w:sz w:val="21"/>
                <w:szCs w:val="21"/>
              </w:rPr>
              <w:t>（1）我的应用</w:t>
            </w:r>
          </w:p>
          <w:p w14:paraId="41A72BBA">
            <w:pPr>
              <w:spacing w:line="520" w:lineRule="exact"/>
              <w:rPr>
                <w:rFonts w:hint="eastAsia" w:ascii="宋体" w:hAnsi="宋体" w:cs="宋体"/>
                <w:bCs/>
                <w:sz w:val="21"/>
                <w:szCs w:val="21"/>
              </w:rPr>
            </w:pPr>
            <w:r>
              <w:rPr>
                <w:rFonts w:hint="eastAsia" w:ascii="宋体" w:hAnsi="宋体" w:cs="宋体"/>
                <w:bCs/>
                <w:sz w:val="21"/>
                <w:szCs w:val="21"/>
              </w:rPr>
              <w:t>根据用户角色，应用服务的类型分为自助服务和管理服务。</w:t>
            </w:r>
          </w:p>
          <w:p w14:paraId="45454AEC">
            <w:pPr>
              <w:spacing w:line="520" w:lineRule="exact"/>
              <w:rPr>
                <w:rFonts w:hint="eastAsia" w:ascii="宋体" w:hAnsi="宋体" w:cs="宋体"/>
                <w:bCs/>
                <w:sz w:val="21"/>
                <w:szCs w:val="21"/>
              </w:rPr>
            </w:pPr>
            <w:r>
              <w:rPr>
                <w:rFonts w:hint="eastAsia" w:ascii="宋体" w:hAnsi="宋体" w:cs="宋体"/>
                <w:bCs/>
                <w:sz w:val="21"/>
                <w:szCs w:val="21"/>
              </w:rPr>
              <w:t>①服务类应用：面向教职工个人的应用，可在工作桌面显示，便于教职工快速找到和使用，教职工可按照应用分类、应用名称快速筛选出想要的应用。</w:t>
            </w:r>
          </w:p>
          <w:p w14:paraId="0E581D19">
            <w:pPr>
              <w:spacing w:line="520" w:lineRule="exact"/>
              <w:rPr>
                <w:rFonts w:hint="eastAsia" w:ascii="宋体" w:hAnsi="宋体" w:cs="宋体"/>
                <w:bCs/>
                <w:sz w:val="21"/>
                <w:szCs w:val="21"/>
              </w:rPr>
            </w:pPr>
            <w:r>
              <w:rPr>
                <w:rFonts w:hint="eastAsia" w:ascii="宋体" w:hAnsi="宋体" w:cs="宋体"/>
                <w:bCs/>
                <w:sz w:val="21"/>
                <w:szCs w:val="21"/>
              </w:rPr>
              <w:t>②管理类应用：面向管理人员的应用，可在工作桌面显示，便于快速找到和使用，管理人员可按照应用分类、应用名称快速筛选出想要的应用。</w:t>
            </w:r>
          </w:p>
          <w:p w14:paraId="656107FE">
            <w:pPr>
              <w:spacing w:line="520" w:lineRule="exact"/>
              <w:rPr>
                <w:rFonts w:hint="eastAsia" w:ascii="宋体" w:hAnsi="宋体" w:cs="宋体"/>
                <w:bCs/>
                <w:sz w:val="21"/>
                <w:szCs w:val="21"/>
              </w:rPr>
            </w:pPr>
            <w:r>
              <w:rPr>
                <w:rFonts w:hint="eastAsia" w:ascii="宋体" w:hAnsi="宋体" w:cs="宋体"/>
                <w:bCs/>
                <w:sz w:val="21"/>
                <w:szCs w:val="21"/>
              </w:rPr>
              <w:t>（2）最近使用</w:t>
            </w:r>
          </w:p>
          <w:p w14:paraId="567C9927">
            <w:pPr>
              <w:spacing w:line="520" w:lineRule="exact"/>
              <w:rPr>
                <w:rFonts w:hint="eastAsia" w:ascii="宋体" w:hAnsi="宋体" w:cs="宋体"/>
                <w:bCs/>
                <w:sz w:val="21"/>
                <w:szCs w:val="21"/>
              </w:rPr>
            </w:pPr>
            <w:r>
              <w:rPr>
                <w:rFonts w:hint="eastAsia" w:ascii="宋体" w:hAnsi="宋体" w:cs="宋体"/>
                <w:bCs/>
                <w:sz w:val="21"/>
                <w:szCs w:val="21"/>
              </w:rPr>
              <w:t>展示教职工最近使用的应用服务，支持按照时间进行排序，引导教职工快速找到常用服务。</w:t>
            </w:r>
          </w:p>
          <w:p w14:paraId="050C4D01">
            <w:pPr>
              <w:spacing w:line="520" w:lineRule="exact"/>
              <w:rPr>
                <w:rFonts w:hint="eastAsia" w:ascii="宋体" w:hAnsi="宋体" w:cs="宋体"/>
                <w:bCs/>
                <w:sz w:val="21"/>
                <w:szCs w:val="21"/>
              </w:rPr>
            </w:pPr>
            <w:r>
              <w:rPr>
                <w:rFonts w:hint="eastAsia" w:ascii="宋体" w:hAnsi="宋体" w:cs="宋体"/>
                <w:bCs/>
                <w:sz w:val="21"/>
                <w:szCs w:val="21"/>
              </w:rPr>
              <w:t>（3）我的收藏</w:t>
            </w:r>
          </w:p>
          <w:p w14:paraId="43F2DF0D">
            <w:pPr>
              <w:spacing w:line="520" w:lineRule="exact"/>
              <w:rPr>
                <w:rFonts w:hint="eastAsia" w:ascii="宋体" w:hAnsi="宋体" w:cs="宋体"/>
                <w:bCs/>
                <w:sz w:val="21"/>
                <w:szCs w:val="21"/>
              </w:rPr>
            </w:pPr>
            <w:r>
              <w:rPr>
                <w:rFonts w:hint="eastAsia" w:ascii="宋体" w:hAnsi="宋体" w:cs="宋体"/>
                <w:bCs/>
                <w:sz w:val="21"/>
                <w:szCs w:val="21"/>
              </w:rPr>
              <w:t>教职工可将常用应用添加到收藏夹，可在我的收藏中快速找到该应用。</w:t>
            </w:r>
          </w:p>
          <w:p w14:paraId="5763DEB2">
            <w:pPr>
              <w:spacing w:line="520" w:lineRule="exact"/>
              <w:rPr>
                <w:rFonts w:hint="eastAsia" w:ascii="宋体" w:hAnsi="宋体" w:cs="宋体"/>
                <w:bCs/>
                <w:sz w:val="21"/>
                <w:szCs w:val="21"/>
              </w:rPr>
            </w:pPr>
            <w:r>
              <w:rPr>
                <w:rFonts w:hint="eastAsia" w:ascii="宋体" w:hAnsi="宋体" w:cs="宋体"/>
                <w:bCs/>
                <w:sz w:val="21"/>
                <w:szCs w:val="21"/>
              </w:rPr>
              <w:t>1.3.消息中心</w:t>
            </w:r>
          </w:p>
          <w:p w14:paraId="2D633EDD">
            <w:pPr>
              <w:spacing w:line="520" w:lineRule="exact"/>
              <w:rPr>
                <w:rFonts w:hint="eastAsia" w:ascii="宋体" w:hAnsi="宋体" w:cs="宋体"/>
                <w:bCs/>
                <w:sz w:val="21"/>
                <w:szCs w:val="21"/>
              </w:rPr>
            </w:pPr>
            <w:r>
              <w:rPr>
                <w:rFonts w:hint="eastAsia" w:ascii="宋体" w:hAnsi="宋体" w:cs="宋体"/>
                <w:bCs/>
                <w:sz w:val="21"/>
                <w:szCs w:val="21"/>
              </w:rPr>
              <w:t>教职工可通过消息中心查询各类消息提醒，并可查询历史消息发送日志。</w:t>
            </w:r>
          </w:p>
          <w:p w14:paraId="536F62D9">
            <w:pPr>
              <w:spacing w:line="520" w:lineRule="exact"/>
              <w:rPr>
                <w:rFonts w:hint="eastAsia" w:ascii="宋体" w:hAnsi="宋体" w:cs="宋体"/>
                <w:bCs/>
                <w:sz w:val="21"/>
                <w:szCs w:val="21"/>
              </w:rPr>
            </w:pPr>
            <w:r>
              <w:rPr>
                <w:rFonts w:hint="eastAsia" w:ascii="宋体" w:hAnsi="宋体" w:cs="宋体"/>
                <w:bCs/>
                <w:sz w:val="21"/>
                <w:szCs w:val="21"/>
              </w:rPr>
              <w:t>①消息提醒：通过系统设置业务预警规则和预警内容，系统可按规则自动生成预警信息，并通过工作桌面提醒相关人员；比如试用期转正提醒、离退休提醒、合同到期提醒等。支持短信、邮件、企业微信等提醒方式。</w:t>
            </w:r>
          </w:p>
          <w:p w14:paraId="7330125E">
            <w:pPr>
              <w:spacing w:line="520" w:lineRule="exact"/>
              <w:rPr>
                <w:rFonts w:hint="eastAsia" w:ascii="宋体" w:hAnsi="宋体" w:cs="宋体"/>
                <w:bCs/>
                <w:sz w:val="21"/>
                <w:szCs w:val="21"/>
              </w:rPr>
            </w:pPr>
            <w:r>
              <w:rPr>
                <w:rFonts w:hint="eastAsia" w:ascii="宋体" w:hAnsi="宋体" w:cs="宋体"/>
                <w:bCs/>
                <w:sz w:val="21"/>
                <w:szCs w:val="21"/>
              </w:rPr>
              <w:t>②消息日志：教职工查看历史消息发送记录，包括接收人、发放方式、发送时间、消息内容、发送状态等。</w:t>
            </w:r>
          </w:p>
          <w:p w14:paraId="163DA3CD">
            <w:pPr>
              <w:spacing w:line="520" w:lineRule="exact"/>
              <w:rPr>
                <w:rFonts w:hint="eastAsia" w:ascii="宋体" w:hAnsi="宋体" w:cs="宋体"/>
                <w:bCs/>
                <w:sz w:val="21"/>
                <w:szCs w:val="21"/>
              </w:rPr>
            </w:pPr>
            <w:r>
              <w:rPr>
                <w:rFonts w:hint="eastAsia" w:ascii="宋体" w:hAnsi="宋体" w:cs="宋体"/>
                <w:bCs/>
                <w:sz w:val="21"/>
                <w:szCs w:val="21"/>
              </w:rPr>
              <w:t>1.4.个性服务</w:t>
            </w:r>
          </w:p>
          <w:p w14:paraId="55C1A87E">
            <w:pPr>
              <w:spacing w:line="520" w:lineRule="exact"/>
              <w:rPr>
                <w:rFonts w:hint="eastAsia" w:ascii="宋体" w:hAnsi="宋体" w:cs="宋体"/>
                <w:bCs/>
                <w:sz w:val="21"/>
                <w:szCs w:val="21"/>
              </w:rPr>
            </w:pPr>
            <w:r>
              <w:rPr>
                <w:rFonts w:hint="eastAsia" w:ascii="宋体" w:hAnsi="宋体" w:cs="宋体"/>
                <w:bCs/>
                <w:sz w:val="21"/>
                <w:szCs w:val="21"/>
              </w:rPr>
              <w:t>①首页换肤：系统需预制至少9种主题配色，教职工可根据个人喜好一键更换系统主题颜色。</w:t>
            </w:r>
          </w:p>
          <w:p w14:paraId="4820C0BA">
            <w:pPr>
              <w:spacing w:line="520" w:lineRule="exact"/>
              <w:rPr>
                <w:rFonts w:hint="eastAsia" w:ascii="宋体" w:hAnsi="宋体" w:cs="宋体"/>
                <w:bCs/>
                <w:sz w:val="21"/>
                <w:szCs w:val="21"/>
              </w:rPr>
            </w:pPr>
            <w:r>
              <w:rPr>
                <w:rFonts w:hint="eastAsia" w:ascii="宋体" w:hAnsi="宋体" w:cs="宋体"/>
                <w:bCs/>
                <w:sz w:val="21"/>
                <w:szCs w:val="21"/>
              </w:rPr>
              <w:t>②个人信息：支持教职工通过个人信息中心修改个人头像、手机号、邮箱等信息，支持重置密码。</w:t>
            </w:r>
          </w:p>
        </w:tc>
      </w:tr>
    </w:tbl>
    <w:p w14:paraId="355080C2">
      <w:pPr>
        <w:widowControl/>
        <w:spacing w:line="520" w:lineRule="exact"/>
        <w:jc w:val="left"/>
        <w:rPr>
          <w:rFonts w:ascii="Times New Roman" w:hAnsi="Times New Roman" w:eastAsia="方正黑体_GBK" w:cs="Times New Roman"/>
          <w:b/>
          <w:sz w:val="32"/>
          <w:szCs w:val="32"/>
        </w:rPr>
      </w:pPr>
      <w:r>
        <w:rPr>
          <w:rFonts w:hint="eastAsia" w:ascii="Times New Roman" w:hAnsi="Times New Roman" w:eastAsia="方正黑体_GBK" w:cs="Times New Roman"/>
          <w:b/>
          <w:sz w:val="32"/>
          <w:szCs w:val="32"/>
        </w:rPr>
        <w:t>三、系统整体规划及建设目标</w:t>
      </w:r>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17"/>
      </w:tblGrid>
      <w:tr w14:paraId="444EB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7" w:type="dxa"/>
          </w:tcPr>
          <w:p w14:paraId="16986CC8">
            <w:pPr>
              <w:spacing w:line="540" w:lineRule="exact"/>
              <w:ind w:firstLine="420" w:firstLineChars="200"/>
              <w:jc w:val="left"/>
              <w:rPr>
                <w:rFonts w:hint="eastAsia" w:ascii="宋体" w:hAnsi="宋体" w:cs="宋体"/>
                <w:bCs/>
                <w:sz w:val="21"/>
                <w:szCs w:val="21"/>
              </w:rPr>
            </w:pPr>
            <w:r>
              <w:rPr>
                <w:rFonts w:hint="eastAsia" w:ascii="宋体" w:hAnsi="宋体" w:cs="宋体"/>
                <w:bCs/>
                <w:sz w:val="21"/>
                <w:szCs w:val="21"/>
              </w:rPr>
              <w:t>（一）系统整体规划</w:t>
            </w:r>
          </w:p>
          <w:p w14:paraId="7091F072">
            <w:pPr>
              <w:spacing w:line="540" w:lineRule="exact"/>
              <w:ind w:firstLine="420" w:firstLineChars="200"/>
              <w:jc w:val="left"/>
              <w:rPr>
                <w:rFonts w:hint="eastAsia" w:ascii="宋体" w:hAnsi="宋体" w:cs="宋体"/>
                <w:bCs/>
                <w:sz w:val="21"/>
                <w:szCs w:val="21"/>
              </w:rPr>
            </w:pPr>
            <w:r>
              <w:rPr>
                <w:rFonts w:ascii="宋体" w:hAnsi="宋体" w:cs="宋体"/>
                <w:bCs/>
                <w:sz w:val="21"/>
                <w:szCs w:val="21"/>
              </w:rPr>
              <w:t>人力资源管理与服务平台建设应坚持以人为本的管理理念，以服务为主线，面向全校各级用户开放：</w:t>
            </w:r>
          </w:p>
          <w:p w14:paraId="29C243AB">
            <w:pPr>
              <w:spacing w:line="540" w:lineRule="exact"/>
              <w:ind w:firstLine="420" w:firstLineChars="200"/>
              <w:jc w:val="left"/>
              <w:rPr>
                <w:rFonts w:hint="eastAsia" w:ascii="宋体" w:hAnsi="宋体" w:cs="宋体"/>
                <w:bCs/>
                <w:sz w:val="21"/>
                <w:szCs w:val="21"/>
              </w:rPr>
            </w:pPr>
            <w:r>
              <w:rPr>
                <w:rFonts w:ascii="宋体" w:hAnsi="宋体" w:cs="宋体"/>
                <w:bCs/>
                <w:sz w:val="21"/>
                <w:szCs w:val="21"/>
              </w:rPr>
              <w:t>1.全校教职工可以通过平台了解学校各项人事政策，与二级单位和</w:t>
            </w:r>
            <w:r>
              <w:rPr>
                <w:rFonts w:hint="eastAsia" w:ascii="宋体" w:hAnsi="宋体" w:cs="宋体"/>
                <w:bCs/>
                <w:sz w:val="21"/>
                <w:szCs w:val="21"/>
              </w:rPr>
              <w:t>组织人事部</w:t>
            </w:r>
            <w:r>
              <w:rPr>
                <w:rFonts w:ascii="宋体" w:hAnsi="宋体" w:cs="宋体"/>
                <w:bCs/>
                <w:sz w:val="21"/>
                <w:szCs w:val="21"/>
              </w:rPr>
              <w:t>实时沟通；可以查看和维护个人基本资料，在线提交各类业务申请，包括调动申请、职称评审、岗位聘任、年度考核等，并跟踪业务办理进度和结果。</w:t>
            </w:r>
          </w:p>
          <w:p w14:paraId="1CAAD383">
            <w:pPr>
              <w:spacing w:line="540" w:lineRule="exact"/>
              <w:ind w:firstLine="420" w:firstLineChars="200"/>
              <w:jc w:val="left"/>
              <w:rPr>
                <w:rFonts w:hint="eastAsia" w:ascii="宋体" w:hAnsi="宋体" w:cs="宋体"/>
                <w:bCs/>
                <w:sz w:val="21"/>
                <w:szCs w:val="21"/>
              </w:rPr>
            </w:pPr>
            <w:r>
              <w:rPr>
                <w:rFonts w:ascii="宋体" w:hAnsi="宋体" w:cs="宋体"/>
                <w:bCs/>
                <w:sz w:val="21"/>
                <w:szCs w:val="21"/>
              </w:rPr>
              <w:t>2.二级院系可以通过平台对所属单位的教职工信息查询统计和分析；根据单位的学科特点和发展定位，实施二级人力资源管理；对单位人才的引进、培养和考核进行管理；配合</w:t>
            </w:r>
            <w:r>
              <w:rPr>
                <w:rFonts w:hint="eastAsia" w:ascii="宋体" w:hAnsi="宋体" w:cs="宋体"/>
                <w:bCs/>
                <w:sz w:val="21"/>
                <w:szCs w:val="21"/>
              </w:rPr>
              <w:t>组织人事部</w:t>
            </w:r>
            <w:r>
              <w:rPr>
                <w:rFonts w:ascii="宋体" w:hAnsi="宋体" w:cs="宋体"/>
                <w:bCs/>
                <w:sz w:val="21"/>
                <w:szCs w:val="21"/>
              </w:rPr>
              <w:t>实施职称评审、岗位聘任、年度考核等管理工作。</w:t>
            </w:r>
          </w:p>
          <w:p w14:paraId="6080FAA4">
            <w:pPr>
              <w:spacing w:line="540" w:lineRule="exact"/>
              <w:ind w:firstLine="420" w:firstLineChars="200"/>
              <w:jc w:val="left"/>
              <w:rPr>
                <w:rFonts w:hint="eastAsia" w:ascii="宋体" w:hAnsi="宋体" w:cs="宋体"/>
                <w:bCs/>
                <w:sz w:val="21"/>
                <w:szCs w:val="21"/>
              </w:rPr>
            </w:pPr>
            <w:r>
              <w:rPr>
                <w:rFonts w:ascii="宋体" w:hAnsi="宋体" w:cs="宋体"/>
                <w:bCs/>
                <w:sz w:val="21"/>
                <w:szCs w:val="21"/>
              </w:rPr>
              <w:t>3.</w:t>
            </w:r>
            <w:r>
              <w:rPr>
                <w:rFonts w:hint="eastAsia" w:ascii="宋体" w:hAnsi="宋体" w:cs="宋体"/>
                <w:bCs/>
                <w:sz w:val="21"/>
                <w:szCs w:val="21"/>
              </w:rPr>
              <w:t>组织人事部</w:t>
            </w:r>
            <w:r>
              <w:rPr>
                <w:rFonts w:ascii="宋体" w:hAnsi="宋体" w:cs="宋体"/>
                <w:bCs/>
                <w:sz w:val="21"/>
                <w:szCs w:val="21"/>
              </w:rPr>
              <w:t>通过平台统筹规划和组织实施全校的人力资源管理工作；满足人事、师资、工资、人才等业务科室的日常管理需要，实现科室之间的数据共享和业务流程整合；对全校人力资源状况的综合查询、智能分析和决策支持；提供与教育部、省厅等业务主管部门的数据统计和上报接口。</w:t>
            </w:r>
          </w:p>
          <w:p w14:paraId="4F1C4C4E">
            <w:pPr>
              <w:spacing w:line="540" w:lineRule="exact"/>
              <w:ind w:firstLine="420" w:firstLineChars="200"/>
              <w:jc w:val="left"/>
              <w:rPr>
                <w:rFonts w:hint="eastAsia" w:ascii="宋体" w:hAnsi="宋体" w:cs="宋体"/>
                <w:bCs/>
                <w:sz w:val="21"/>
                <w:szCs w:val="21"/>
              </w:rPr>
            </w:pPr>
            <w:r>
              <w:rPr>
                <w:rFonts w:ascii="宋体" w:hAnsi="宋体" w:cs="宋体"/>
                <w:bCs/>
                <w:sz w:val="21"/>
                <w:szCs w:val="21"/>
              </w:rPr>
              <w:t>4.其他职能部门根据需要可以参与到具体的人力资源管理与服务业务流程，实现人力资源业务的跨部门协同办公。</w:t>
            </w:r>
          </w:p>
          <w:p w14:paraId="0BA8274D">
            <w:pPr>
              <w:spacing w:line="540" w:lineRule="exact"/>
              <w:ind w:firstLine="420" w:firstLineChars="200"/>
              <w:jc w:val="left"/>
              <w:rPr>
                <w:rFonts w:hint="eastAsia" w:ascii="宋体" w:hAnsi="宋体" w:cs="宋体"/>
                <w:bCs/>
                <w:sz w:val="21"/>
                <w:szCs w:val="21"/>
              </w:rPr>
            </w:pPr>
            <w:r>
              <w:rPr>
                <w:rFonts w:ascii="宋体" w:hAnsi="宋体" w:cs="宋体"/>
                <w:bCs/>
                <w:sz w:val="21"/>
                <w:szCs w:val="21"/>
              </w:rPr>
              <w:t>5.校领导可以实时掌握学校人力资源的现状和发展趋势；实现对学校人才战略计划的目标监控和过程指导；实现对关键业务的审批和查阅。</w:t>
            </w:r>
          </w:p>
          <w:p w14:paraId="4CF87C14">
            <w:pPr>
              <w:spacing w:line="540" w:lineRule="exact"/>
              <w:ind w:firstLine="420" w:firstLineChars="200"/>
              <w:jc w:val="left"/>
              <w:rPr>
                <w:rFonts w:hint="eastAsia" w:ascii="宋体" w:hAnsi="宋体" w:cs="宋体"/>
                <w:bCs/>
                <w:sz w:val="21"/>
                <w:szCs w:val="21"/>
              </w:rPr>
            </w:pPr>
            <w:r>
              <w:rPr>
                <w:rFonts w:ascii="宋体" w:hAnsi="宋体" w:cs="宋体"/>
                <w:bCs/>
                <w:sz w:val="21"/>
                <w:szCs w:val="21"/>
              </w:rPr>
              <w:t>6.应聘人员可以浏览招聘网站并注册账号，填写简历信息，并申请职位，跟踪所申请职位的审核情况。</w:t>
            </w:r>
          </w:p>
          <w:p w14:paraId="73BCF390">
            <w:pPr>
              <w:spacing w:line="540" w:lineRule="exact"/>
              <w:ind w:firstLine="420" w:firstLineChars="200"/>
              <w:jc w:val="left"/>
              <w:rPr>
                <w:rFonts w:hint="eastAsia" w:ascii="宋体" w:hAnsi="宋体" w:cs="宋体"/>
                <w:bCs/>
                <w:sz w:val="21"/>
                <w:szCs w:val="21"/>
              </w:rPr>
            </w:pPr>
            <w:r>
              <w:rPr>
                <w:rFonts w:ascii="宋体" w:hAnsi="宋体" w:cs="宋体"/>
                <w:bCs/>
                <w:sz w:val="21"/>
                <w:szCs w:val="21"/>
              </w:rPr>
              <w:t>7.校外专家可以接收评审账号及访问地址，查阅评审材料，填写评审意见并提交。</w:t>
            </w:r>
          </w:p>
          <w:p w14:paraId="32D8D586">
            <w:pPr>
              <w:spacing w:line="540" w:lineRule="exact"/>
              <w:ind w:firstLine="420" w:firstLineChars="200"/>
              <w:jc w:val="left"/>
              <w:rPr>
                <w:rFonts w:hint="eastAsia" w:ascii="宋体" w:hAnsi="宋体" w:cs="宋体"/>
                <w:bCs/>
                <w:sz w:val="21"/>
                <w:szCs w:val="21"/>
              </w:rPr>
            </w:pPr>
            <w:r>
              <w:rPr>
                <w:rFonts w:hint="eastAsia" w:ascii="宋体" w:hAnsi="宋体" w:cs="宋体"/>
                <w:bCs/>
                <w:sz w:val="21"/>
                <w:szCs w:val="21"/>
              </w:rPr>
              <w:t>（二）</w:t>
            </w:r>
            <w:r>
              <w:rPr>
                <w:rFonts w:ascii="宋体" w:hAnsi="宋体" w:cs="宋体"/>
                <w:bCs/>
                <w:sz w:val="21"/>
                <w:szCs w:val="21"/>
              </w:rPr>
              <w:t>建设目标</w:t>
            </w:r>
          </w:p>
          <w:p w14:paraId="4384330C">
            <w:pPr>
              <w:spacing w:line="540" w:lineRule="exact"/>
              <w:ind w:firstLine="420" w:firstLineChars="200"/>
              <w:jc w:val="left"/>
              <w:rPr>
                <w:rFonts w:hint="eastAsia" w:ascii="宋体" w:hAnsi="宋体" w:cs="宋体"/>
                <w:bCs/>
                <w:sz w:val="21"/>
                <w:szCs w:val="21"/>
              </w:rPr>
            </w:pPr>
            <w:r>
              <w:rPr>
                <w:rFonts w:ascii="宋体" w:hAnsi="宋体" w:cs="宋体"/>
                <w:bCs/>
                <w:sz w:val="21"/>
                <w:szCs w:val="21"/>
              </w:rPr>
              <w:t>人力资源管理与服务平台通过业务重构、资源融合和服务创新，将分散的业务、数据和服务聚合，基于统一的平台，提升面向不同用户的个性化服务能力。具体建设目标如下：</w:t>
            </w:r>
          </w:p>
          <w:p w14:paraId="41A72422">
            <w:pPr>
              <w:spacing w:line="540" w:lineRule="exact"/>
              <w:ind w:firstLine="420" w:firstLineChars="200"/>
              <w:jc w:val="left"/>
              <w:rPr>
                <w:rFonts w:hint="eastAsia" w:ascii="宋体" w:hAnsi="宋体" w:cs="宋体"/>
                <w:bCs/>
                <w:sz w:val="21"/>
                <w:szCs w:val="21"/>
              </w:rPr>
            </w:pPr>
            <w:r>
              <w:rPr>
                <w:rFonts w:ascii="宋体" w:hAnsi="宋体" w:cs="宋体"/>
                <w:bCs/>
                <w:sz w:val="21"/>
                <w:szCs w:val="21"/>
              </w:rPr>
              <w:t>1.建立动态的可共享的全校教职工信息库。建立教职工信息标准和规范，构建全校教职工信息库，包括在职人员、离退休人员和离校人员等。通过教职工信息库，即可了解到教职工的当前状况，又可追溯信息的历史过程。教职工信息可向全校共享，并可灵活授权给各级用户进行信息管理与维护，既保证数据的开放性，又保障数据的安全性。系统支持以教职工信息库为基础，进行数据查询统计、生成快照数据以及灵活制定数据报表。</w:t>
            </w:r>
          </w:p>
          <w:p w14:paraId="4421FED9">
            <w:pPr>
              <w:spacing w:line="540" w:lineRule="exact"/>
              <w:ind w:firstLine="420" w:firstLineChars="200"/>
              <w:jc w:val="left"/>
              <w:rPr>
                <w:rFonts w:hint="eastAsia" w:ascii="宋体" w:hAnsi="宋体" w:cs="宋体"/>
                <w:bCs/>
                <w:sz w:val="21"/>
                <w:szCs w:val="21"/>
              </w:rPr>
            </w:pPr>
            <w:r>
              <w:rPr>
                <w:rFonts w:ascii="宋体" w:hAnsi="宋体" w:cs="宋体"/>
                <w:bCs/>
                <w:sz w:val="21"/>
                <w:szCs w:val="21"/>
              </w:rPr>
              <w:t>2.实现流程化的业务管理。支持</w:t>
            </w:r>
            <w:r>
              <w:rPr>
                <w:rFonts w:hint="eastAsia" w:ascii="宋体" w:hAnsi="宋体" w:cs="宋体"/>
                <w:bCs/>
                <w:sz w:val="21"/>
                <w:szCs w:val="21"/>
              </w:rPr>
              <w:t>组织人事部</w:t>
            </w:r>
            <w:r>
              <w:rPr>
                <w:rFonts w:ascii="宋体" w:hAnsi="宋体" w:cs="宋体"/>
                <w:bCs/>
                <w:sz w:val="21"/>
                <w:szCs w:val="21"/>
              </w:rPr>
              <w:t>的日常管理工作，包括招聘管理、人事异动管理、合同管理、考勤管理、师资培养、薪酬福利、岗位聘任、职称评审、聘期考核、年度考核等，并开放给教职工、二级单位和职能部门协同完成，实现流程化办公。</w:t>
            </w:r>
          </w:p>
          <w:p w14:paraId="673AA425">
            <w:pPr>
              <w:spacing w:line="540" w:lineRule="exact"/>
              <w:ind w:firstLine="420" w:firstLineChars="200"/>
              <w:jc w:val="left"/>
              <w:rPr>
                <w:rFonts w:hint="eastAsia" w:ascii="宋体" w:hAnsi="宋体" w:cs="宋体"/>
                <w:bCs/>
                <w:sz w:val="21"/>
                <w:szCs w:val="21"/>
              </w:rPr>
            </w:pPr>
            <w:r>
              <w:rPr>
                <w:rFonts w:ascii="宋体" w:hAnsi="宋体" w:cs="宋体"/>
                <w:bCs/>
                <w:sz w:val="21"/>
                <w:szCs w:val="21"/>
              </w:rPr>
              <w:t>3.提供面向教职工的自助服务。教职工可登录系统，查看个人资料、获取通知公告、了解学校人事政策，在线填报和打印各类申请表格，并可通过系统跟踪自己提交的业务申请的办理进度。</w:t>
            </w:r>
          </w:p>
          <w:p w14:paraId="4FB80D10">
            <w:pPr>
              <w:spacing w:line="540" w:lineRule="exact"/>
              <w:ind w:firstLine="420" w:firstLineChars="200"/>
              <w:jc w:val="left"/>
              <w:rPr>
                <w:rFonts w:hint="eastAsia" w:ascii="宋体" w:hAnsi="宋体" w:cs="宋体"/>
                <w:bCs/>
                <w:sz w:val="21"/>
                <w:szCs w:val="21"/>
              </w:rPr>
            </w:pPr>
            <w:r>
              <w:rPr>
                <w:rFonts w:ascii="宋体" w:hAnsi="宋体" w:cs="宋体"/>
                <w:bCs/>
                <w:sz w:val="21"/>
                <w:szCs w:val="21"/>
              </w:rPr>
              <w:t>4.提供面向二级单位的二级管理服务。为各二级单位提供二级管理功能，各单位进入系统，可查看本单位的教职工信息，可在线审核教职工提交的业务申请。二级单位可通过系统与</w:t>
            </w:r>
            <w:r>
              <w:rPr>
                <w:rFonts w:hint="eastAsia" w:ascii="宋体" w:hAnsi="宋体" w:cs="宋体"/>
                <w:bCs/>
                <w:sz w:val="21"/>
                <w:szCs w:val="21"/>
              </w:rPr>
              <w:t>组织人事部</w:t>
            </w:r>
            <w:r>
              <w:rPr>
                <w:rFonts w:ascii="宋体" w:hAnsi="宋体" w:cs="宋体"/>
                <w:bCs/>
                <w:sz w:val="21"/>
                <w:szCs w:val="21"/>
              </w:rPr>
              <w:t>协同办公。</w:t>
            </w:r>
          </w:p>
          <w:p w14:paraId="62D9EEAF">
            <w:pPr>
              <w:spacing w:line="540" w:lineRule="exact"/>
              <w:ind w:firstLine="420" w:firstLineChars="200"/>
              <w:jc w:val="left"/>
              <w:rPr>
                <w:rFonts w:hint="eastAsia" w:ascii="宋体" w:hAnsi="宋体" w:cs="宋体"/>
                <w:bCs/>
                <w:sz w:val="21"/>
                <w:szCs w:val="21"/>
              </w:rPr>
            </w:pPr>
            <w:r>
              <w:rPr>
                <w:rFonts w:ascii="宋体" w:hAnsi="宋体" w:cs="宋体"/>
                <w:bCs/>
                <w:sz w:val="21"/>
                <w:szCs w:val="21"/>
              </w:rPr>
              <w:t>5.提供面向领导的决策支持服务。系统可为校领导和</w:t>
            </w:r>
            <w:r>
              <w:rPr>
                <w:rFonts w:hint="eastAsia" w:ascii="宋体" w:hAnsi="宋体" w:cs="宋体"/>
                <w:bCs/>
                <w:sz w:val="21"/>
                <w:szCs w:val="21"/>
              </w:rPr>
              <w:t>组织人事部</w:t>
            </w:r>
            <w:r>
              <w:rPr>
                <w:rFonts w:ascii="宋体" w:hAnsi="宋体" w:cs="宋体"/>
                <w:bCs/>
                <w:sz w:val="21"/>
                <w:szCs w:val="21"/>
              </w:rPr>
              <w:t>领导等提供决策支持服务。领导进入系统，可以办理审核审批业务，可以查看各类统计和分析报表，能实时了解学校人力资源的状况和发展趋势。</w:t>
            </w:r>
          </w:p>
          <w:p w14:paraId="1BAFDA19">
            <w:pPr>
              <w:spacing w:line="540" w:lineRule="exact"/>
              <w:ind w:firstLine="420" w:firstLineChars="200"/>
              <w:jc w:val="left"/>
              <w:rPr>
                <w:rFonts w:ascii="Times New Roman" w:hAnsi="Times New Roman" w:eastAsia="方正仿宋_GBK"/>
                <w:sz w:val="32"/>
                <w:szCs w:val="32"/>
              </w:rPr>
            </w:pPr>
            <w:r>
              <w:rPr>
                <w:rFonts w:ascii="宋体" w:hAnsi="宋体" w:cs="宋体"/>
                <w:bCs/>
                <w:sz w:val="21"/>
                <w:szCs w:val="21"/>
              </w:rPr>
              <w:t>6.实现数据集成和业务整合。人力资源管理与服务平台作为学校智慧校园核心业务系统之一，能够实现统一身份认证集成、服务大厅集成、数据集成；能实现与学校其他业务系统，如教务系统、科研系统、财务系统等系统进行集成与数据共享；能实现与学校统一移动门户、官方微信平台的应用集成。</w:t>
            </w:r>
          </w:p>
        </w:tc>
      </w:tr>
    </w:tbl>
    <w:p w14:paraId="05B25AE8">
      <w:pPr>
        <w:widowControl/>
        <w:spacing w:line="520" w:lineRule="exact"/>
        <w:jc w:val="left"/>
        <w:rPr>
          <w:rFonts w:ascii="Times New Roman" w:hAnsi="Times New Roman" w:eastAsia="方正黑体_GBK" w:cs="Times New Roman"/>
          <w:b/>
          <w:sz w:val="32"/>
          <w:szCs w:val="32"/>
        </w:rPr>
      </w:pPr>
    </w:p>
    <w:p w14:paraId="537812E0">
      <w:pPr>
        <w:widowControl/>
        <w:jc w:val="left"/>
        <w:rPr>
          <w:rFonts w:hint="eastAsia" w:ascii="宋体" w:hAnsi="宋体" w:cs="宋体"/>
          <w:kern w:val="0"/>
          <w:szCs w:val="24"/>
          <w:lang w:bidi="ar"/>
        </w:rPr>
      </w:pPr>
    </w:p>
    <w:p w14:paraId="556185BC">
      <w:pPr>
        <w:rPr>
          <w:rFonts w:ascii="Times New Roman" w:hAnsi="Times New Roman" w:eastAsia="方正小标宋_GBK" w:cs="Times New Roman"/>
        </w:rPr>
      </w:pPr>
    </w:p>
    <w:p w14:paraId="3B7FEA69">
      <w:pPr>
        <w:widowControl/>
        <w:jc w:val="left"/>
        <w:rPr>
          <w:rFonts w:ascii="Times New Roman" w:hAnsi="Times New Roman" w:eastAsia="方正小标宋_GBK" w:cs="Times New Roman"/>
          <w:b/>
          <w:bCs/>
          <w:kern w:val="44"/>
          <w:sz w:val="44"/>
          <w:szCs w:val="44"/>
        </w:rPr>
      </w:pPr>
      <w:r>
        <w:rPr>
          <w:rFonts w:ascii="Times New Roman" w:hAnsi="Times New Roman" w:eastAsia="方正小标宋_GBK" w:cs="Times New Roman"/>
        </w:rPr>
        <w:br w:type="page"/>
      </w:r>
    </w:p>
    <w:p w14:paraId="12FF8715">
      <w:pPr>
        <w:pStyle w:val="2"/>
        <w:numPr>
          <w:ilvl w:val="0"/>
          <w:numId w:val="0"/>
        </w:numPr>
        <w:spacing w:before="0" w:after="0" w:line="520" w:lineRule="exact"/>
        <w:ind w:firstLine="2201" w:firstLineChars="500"/>
        <w:rPr>
          <w:rFonts w:ascii="Times New Roman" w:hAnsi="Times New Roman" w:eastAsia="方正小标宋_GBK" w:cs="Times New Roman"/>
        </w:rPr>
      </w:pPr>
      <w:r>
        <w:rPr>
          <w:rFonts w:ascii="Times New Roman" w:hAnsi="Times New Roman" w:eastAsia="方正小标宋_GBK" w:cs="Times New Roman"/>
        </w:rPr>
        <w:t>第四章 评标原则</w:t>
      </w:r>
    </w:p>
    <w:p w14:paraId="660AC0A6">
      <w:pPr>
        <w:spacing w:line="520" w:lineRule="exact"/>
        <w:ind w:firstLine="640" w:firstLineChars="200"/>
        <w:rPr>
          <w:rFonts w:ascii="Times New Roman" w:hAnsi="Times New Roman" w:eastAsia="方正仿宋_GBK" w:cs="Times New Roman"/>
          <w:bCs/>
          <w:kern w:val="0"/>
          <w:sz w:val="32"/>
          <w:szCs w:val="32"/>
          <w:lang w:bidi="en-US"/>
        </w:rPr>
      </w:pPr>
      <w:bookmarkStart w:id="224" w:name="_Toc454373093"/>
      <w:bookmarkStart w:id="225" w:name="_Toc481694471"/>
      <w:bookmarkStart w:id="226" w:name="_Toc484637076"/>
      <w:bookmarkStart w:id="227" w:name="_Toc531594799"/>
      <w:r>
        <w:rPr>
          <w:rFonts w:hint="eastAsia" w:ascii="Times New Roman" w:hAnsi="Times New Roman" w:eastAsia="方正仿宋_GBK" w:cs="Times New Roman"/>
          <w:bCs/>
          <w:kern w:val="0"/>
          <w:sz w:val="32"/>
          <w:szCs w:val="32"/>
          <w:lang w:bidi="en-US"/>
        </w:rPr>
        <w:t>本项目采用</w:t>
      </w:r>
      <w:r>
        <w:rPr>
          <w:rFonts w:hint="eastAsia" w:ascii="方正仿宋_GBK" w:hAnsi="方正仿宋_GBK" w:eastAsia="方正仿宋_GBK" w:cs="方正仿宋_GBK"/>
          <w:sz w:val="30"/>
          <w:szCs w:val="30"/>
        </w:rPr>
        <w:t>综合</w:t>
      </w:r>
      <w:r>
        <w:rPr>
          <w:rFonts w:hint="eastAsia" w:ascii="Times New Roman" w:hAnsi="Times New Roman" w:eastAsia="方正仿宋_GBK" w:cs="Times New Roman"/>
          <w:bCs/>
          <w:kern w:val="0"/>
          <w:sz w:val="32"/>
          <w:szCs w:val="32"/>
          <w:lang w:bidi="en-US"/>
        </w:rPr>
        <w:t>评分法的原则，其中经济部分40分、技术部分40分，商务部分20分，共计100分。</w:t>
      </w:r>
    </w:p>
    <w:tbl>
      <w:tblPr>
        <w:tblStyle w:val="42"/>
        <w:tblW w:w="542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8"/>
        <w:gridCol w:w="1328"/>
        <w:gridCol w:w="6055"/>
        <w:gridCol w:w="1126"/>
      </w:tblGrid>
      <w:tr w14:paraId="62028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744" w:type="pct"/>
            <w:tcBorders>
              <w:top w:val="single" w:color="auto" w:sz="4" w:space="0"/>
              <w:left w:val="single" w:color="auto" w:sz="4" w:space="0"/>
              <w:bottom w:val="single" w:color="auto" w:sz="4" w:space="0"/>
              <w:right w:val="single" w:color="auto" w:sz="4" w:space="0"/>
            </w:tcBorders>
            <w:vAlign w:val="center"/>
          </w:tcPr>
          <w:p w14:paraId="2C674460">
            <w:pPr>
              <w:pStyle w:val="38"/>
              <w:snapToGrid w:val="0"/>
              <w:spacing w:before="120" w:beforeAutospacing="0" w:after="120" w:afterAutospacing="0"/>
              <w:ind w:left="480" w:hanging="480"/>
              <w:jc w:val="center"/>
              <w:rPr>
                <w:rFonts w:hint="eastAsia"/>
              </w:rPr>
            </w:pPr>
            <w:bookmarkStart w:id="228" w:name="_Hlk218517272"/>
            <w:r>
              <w:rPr>
                <w:rFonts w:hint="eastAsia"/>
              </w:rPr>
              <w:t>项目</w:t>
            </w:r>
          </w:p>
        </w:tc>
        <w:tc>
          <w:tcPr>
            <w:tcW w:w="664" w:type="pct"/>
            <w:tcBorders>
              <w:top w:val="single" w:color="auto" w:sz="4" w:space="0"/>
              <w:left w:val="single" w:color="auto" w:sz="4" w:space="0"/>
              <w:bottom w:val="single" w:color="auto" w:sz="4" w:space="0"/>
              <w:right w:val="single" w:color="auto" w:sz="4" w:space="0"/>
            </w:tcBorders>
            <w:vAlign w:val="center"/>
          </w:tcPr>
          <w:p w14:paraId="10B6DE36">
            <w:pPr>
              <w:pStyle w:val="38"/>
              <w:snapToGrid w:val="0"/>
              <w:spacing w:before="120" w:beforeAutospacing="0" w:after="120" w:afterAutospacing="0"/>
              <w:ind w:left="480" w:hanging="480"/>
              <w:jc w:val="center"/>
              <w:rPr>
                <w:rFonts w:hint="eastAsia"/>
              </w:rPr>
            </w:pPr>
            <w:r>
              <w:rPr>
                <w:rFonts w:hint="eastAsia"/>
              </w:rPr>
              <w:t>分项名称</w:t>
            </w:r>
          </w:p>
        </w:tc>
        <w:tc>
          <w:tcPr>
            <w:tcW w:w="3028" w:type="pct"/>
            <w:tcBorders>
              <w:top w:val="single" w:color="auto" w:sz="4" w:space="0"/>
              <w:left w:val="single" w:color="auto" w:sz="4" w:space="0"/>
              <w:bottom w:val="single" w:color="auto" w:sz="4" w:space="0"/>
              <w:right w:val="single" w:color="auto" w:sz="4" w:space="0"/>
            </w:tcBorders>
            <w:vAlign w:val="center"/>
          </w:tcPr>
          <w:p w14:paraId="52776E18">
            <w:pPr>
              <w:pStyle w:val="38"/>
              <w:snapToGrid w:val="0"/>
              <w:spacing w:before="120" w:beforeAutospacing="0" w:after="120" w:afterAutospacing="0"/>
              <w:ind w:left="480" w:hanging="480"/>
              <w:jc w:val="center"/>
              <w:rPr>
                <w:rFonts w:hint="eastAsia"/>
              </w:rPr>
            </w:pPr>
            <w:r>
              <w:rPr>
                <w:rFonts w:hint="eastAsia"/>
              </w:rPr>
              <w:t>评分标准</w:t>
            </w:r>
          </w:p>
        </w:tc>
        <w:tc>
          <w:tcPr>
            <w:tcW w:w="563" w:type="pct"/>
            <w:tcBorders>
              <w:top w:val="single" w:color="auto" w:sz="4" w:space="0"/>
              <w:left w:val="single" w:color="auto" w:sz="4" w:space="0"/>
              <w:bottom w:val="single" w:color="auto" w:sz="4" w:space="0"/>
              <w:right w:val="single" w:color="auto" w:sz="4" w:space="0"/>
            </w:tcBorders>
            <w:vAlign w:val="center"/>
          </w:tcPr>
          <w:p w14:paraId="4AC77C90">
            <w:pPr>
              <w:pStyle w:val="38"/>
              <w:snapToGrid w:val="0"/>
              <w:spacing w:before="120" w:beforeAutospacing="0" w:after="120" w:afterAutospacing="0"/>
              <w:ind w:left="480" w:hanging="480"/>
              <w:jc w:val="center"/>
              <w:rPr>
                <w:rFonts w:hint="eastAsia"/>
              </w:rPr>
            </w:pPr>
            <w:r>
              <w:rPr>
                <w:rFonts w:hint="eastAsia"/>
              </w:rPr>
              <w:t>满分</w:t>
            </w:r>
          </w:p>
        </w:tc>
      </w:tr>
      <w:tr w14:paraId="4946D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9" w:hRule="atLeast"/>
          <w:jc w:val="center"/>
        </w:trPr>
        <w:tc>
          <w:tcPr>
            <w:tcW w:w="744" w:type="pct"/>
            <w:tcBorders>
              <w:top w:val="single" w:color="auto" w:sz="4" w:space="0"/>
              <w:left w:val="single" w:color="auto" w:sz="4" w:space="0"/>
              <w:bottom w:val="single" w:color="auto" w:sz="4" w:space="0"/>
              <w:right w:val="single" w:color="auto" w:sz="4" w:space="0"/>
            </w:tcBorders>
            <w:vAlign w:val="center"/>
          </w:tcPr>
          <w:p w14:paraId="15B8A8F6">
            <w:pPr>
              <w:pStyle w:val="38"/>
              <w:snapToGrid w:val="0"/>
              <w:spacing w:before="120" w:beforeAutospacing="0" w:after="120" w:afterAutospacing="0"/>
              <w:ind w:left="480" w:hanging="480"/>
              <w:jc w:val="center"/>
              <w:rPr>
                <w:rFonts w:hint="eastAsia"/>
              </w:rPr>
            </w:pPr>
            <w:r>
              <w:rPr>
                <w:rFonts w:hint="eastAsia"/>
              </w:rPr>
              <w:t>经济部分</w:t>
            </w:r>
          </w:p>
          <w:p w14:paraId="6836A488">
            <w:pPr>
              <w:pStyle w:val="38"/>
              <w:snapToGrid w:val="0"/>
              <w:spacing w:before="120" w:beforeAutospacing="0" w:after="120" w:afterAutospacing="0"/>
              <w:ind w:left="480" w:hanging="480"/>
              <w:jc w:val="center"/>
              <w:rPr>
                <w:rFonts w:hint="eastAsia"/>
              </w:rPr>
            </w:pPr>
            <w:r>
              <w:rPr>
                <w:rFonts w:hint="eastAsia"/>
              </w:rPr>
              <w:t>（40分）</w:t>
            </w:r>
          </w:p>
        </w:tc>
        <w:tc>
          <w:tcPr>
            <w:tcW w:w="664" w:type="pct"/>
            <w:tcBorders>
              <w:top w:val="single" w:color="auto" w:sz="4" w:space="0"/>
              <w:left w:val="single" w:color="auto" w:sz="4" w:space="0"/>
              <w:bottom w:val="single" w:color="auto" w:sz="4" w:space="0"/>
              <w:right w:val="single" w:color="auto" w:sz="4" w:space="0"/>
            </w:tcBorders>
            <w:vAlign w:val="center"/>
          </w:tcPr>
          <w:p w14:paraId="1352D3F8">
            <w:pPr>
              <w:pStyle w:val="38"/>
              <w:snapToGrid w:val="0"/>
              <w:spacing w:before="120" w:beforeAutospacing="0" w:after="120" w:afterAutospacing="0"/>
              <w:ind w:left="480" w:hanging="480"/>
              <w:jc w:val="center"/>
              <w:rPr>
                <w:rFonts w:hint="eastAsia"/>
              </w:rPr>
            </w:pPr>
            <w:r>
              <w:rPr>
                <w:rFonts w:hint="eastAsia"/>
              </w:rPr>
              <w:t>价格</w:t>
            </w:r>
          </w:p>
        </w:tc>
        <w:tc>
          <w:tcPr>
            <w:tcW w:w="3028" w:type="pct"/>
            <w:tcBorders>
              <w:top w:val="single" w:color="auto" w:sz="4" w:space="0"/>
              <w:left w:val="single" w:color="auto" w:sz="4" w:space="0"/>
              <w:bottom w:val="single" w:color="auto" w:sz="4" w:space="0"/>
              <w:right w:val="single" w:color="auto" w:sz="4" w:space="0"/>
            </w:tcBorders>
            <w:vAlign w:val="center"/>
          </w:tcPr>
          <w:p w14:paraId="6B9A8D69">
            <w:pPr>
              <w:widowControl/>
              <w:textAlignment w:val="center"/>
              <w:rPr>
                <w:rFonts w:hint="eastAsia" w:ascii="宋体" w:hAnsi="宋体" w:cs="宋体"/>
                <w:kern w:val="0"/>
                <w:lang w:bidi="ar"/>
              </w:rPr>
            </w:pPr>
            <w:r>
              <w:rPr>
                <w:rFonts w:hint="eastAsia" w:ascii="宋体" w:hAnsi="宋体" w:cs="宋体"/>
                <w:kern w:val="0"/>
                <w:lang w:bidi="ar"/>
              </w:rPr>
              <w:t>满足资格性、符合性要求，以有效投标报价中的最低价为投标基准价，其价格分为满分。其他投标人的价格分统一按照下列公式计算：</w:t>
            </w:r>
          </w:p>
          <w:p w14:paraId="232FD774">
            <w:pPr>
              <w:widowControl/>
              <w:jc w:val="left"/>
              <w:textAlignment w:val="center"/>
              <w:rPr>
                <w:rFonts w:hint="eastAsia" w:ascii="宋体" w:hAnsi="宋体" w:cs="宋体"/>
                <w:kern w:val="0"/>
                <w:lang w:bidi="ar"/>
              </w:rPr>
            </w:pPr>
            <w:r>
              <w:rPr>
                <w:rFonts w:hint="eastAsia" w:ascii="宋体" w:hAnsi="宋体" w:cs="宋体"/>
                <w:kern w:val="0"/>
                <w:lang w:bidi="ar"/>
              </w:rPr>
              <w:t>投标报价得分=（投标基准价/投标报价）×价格权值×100</w:t>
            </w:r>
          </w:p>
        </w:tc>
        <w:tc>
          <w:tcPr>
            <w:tcW w:w="563" w:type="pct"/>
            <w:tcBorders>
              <w:top w:val="single" w:color="auto" w:sz="4" w:space="0"/>
              <w:left w:val="single" w:color="auto" w:sz="4" w:space="0"/>
              <w:bottom w:val="single" w:color="auto" w:sz="4" w:space="0"/>
              <w:right w:val="single" w:color="auto" w:sz="4" w:space="0"/>
            </w:tcBorders>
            <w:vAlign w:val="center"/>
          </w:tcPr>
          <w:p w14:paraId="7D693C9A">
            <w:pPr>
              <w:pStyle w:val="38"/>
              <w:snapToGrid w:val="0"/>
              <w:spacing w:before="120" w:beforeAutospacing="0" w:after="120" w:afterAutospacing="0"/>
              <w:ind w:left="480" w:hanging="480"/>
              <w:jc w:val="center"/>
              <w:rPr>
                <w:rFonts w:hint="eastAsia"/>
              </w:rPr>
            </w:pPr>
            <w:r>
              <w:rPr>
                <w:rFonts w:hint="eastAsia"/>
              </w:rPr>
              <w:t>40</w:t>
            </w:r>
          </w:p>
        </w:tc>
      </w:tr>
      <w:tr w14:paraId="66974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44" w:type="pct"/>
            <w:vMerge w:val="restart"/>
            <w:tcBorders>
              <w:left w:val="single" w:color="auto" w:sz="4" w:space="0"/>
              <w:right w:val="single" w:color="auto" w:sz="4" w:space="0"/>
            </w:tcBorders>
            <w:vAlign w:val="center"/>
          </w:tcPr>
          <w:p w14:paraId="3E348D96">
            <w:pPr>
              <w:pStyle w:val="38"/>
              <w:snapToGrid w:val="0"/>
              <w:spacing w:before="120" w:beforeAutospacing="0" w:after="120" w:afterAutospacing="0"/>
              <w:ind w:left="480" w:hanging="480"/>
              <w:jc w:val="center"/>
              <w:rPr>
                <w:rFonts w:hint="eastAsia"/>
              </w:rPr>
            </w:pPr>
            <w:r>
              <w:rPr>
                <w:rFonts w:hint="eastAsia"/>
              </w:rPr>
              <w:t>技术部分</w:t>
            </w:r>
          </w:p>
          <w:p w14:paraId="01287EE0">
            <w:pPr>
              <w:pStyle w:val="38"/>
              <w:snapToGrid w:val="0"/>
              <w:spacing w:before="120" w:beforeAutospacing="0" w:after="120" w:afterAutospacing="0"/>
              <w:ind w:left="480" w:hanging="480"/>
              <w:jc w:val="center"/>
              <w:rPr>
                <w:rFonts w:hint="eastAsia"/>
              </w:rPr>
            </w:pPr>
            <w:r>
              <w:rPr>
                <w:rFonts w:hint="eastAsia"/>
              </w:rPr>
              <w:t>（40分）</w:t>
            </w:r>
          </w:p>
        </w:tc>
        <w:tc>
          <w:tcPr>
            <w:tcW w:w="664" w:type="pct"/>
            <w:tcBorders>
              <w:top w:val="single" w:color="auto" w:sz="4" w:space="0"/>
              <w:left w:val="single" w:color="auto" w:sz="4" w:space="0"/>
              <w:right w:val="single" w:color="auto" w:sz="4" w:space="0"/>
            </w:tcBorders>
            <w:vAlign w:val="center"/>
          </w:tcPr>
          <w:p w14:paraId="09980084">
            <w:pPr>
              <w:pStyle w:val="38"/>
              <w:snapToGrid w:val="0"/>
              <w:spacing w:before="120" w:beforeAutospacing="0" w:after="120" w:afterAutospacing="0"/>
              <w:ind w:left="480" w:hanging="480"/>
              <w:jc w:val="center"/>
              <w:rPr>
                <w:rFonts w:hint="eastAsia"/>
                <w:kern w:val="2"/>
              </w:rPr>
            </w:pPr>
            <w:r>
              <w:rPr>
                <w:rFonts w:hint="eastAsia"/>
                <w:lang w:bidi="ar"/>
              </w:rPr>
              <w:t>技术、配置参数要求</w:t>
            </w:r>
          </w:p>
        </w:tc>
        <w:tc>
          <w:tcPr>
            <w:tcW w:w="3028" w:type="pct"/>
            <w:tcBorders>
              <w:top w:val="single" w:color="auto" w:sz="4" w:space="0"/>
              <w:left w:val="single" w:color="auto" w:sz="4" w:space="0"/>
              <w:bottom w:val="single" w:color="auto" w:sz="4" w:space="0"/>
              <w:right w:val="single" w:color="auto" w:sz="4" w:space="0"/>
            </w:tcBorders>
          </w:tcPr>
          <w:p w14:paraId="275870B8">
            <w:pPr>
              <w:widowControl/>
              <w:textAlignment w:val="center"/>
              <w:rPr>
                <w:rFonts w:hint="eastAsia" w:ascii="宋体" w:hAnsi="宋体" w:cs="宋体"/>
              </w:rPr>
            </w:pPr>
            <w:r>
              <w:rPr>
                <w:rFonts w:hint="eastAsia" w:ascii="宋体" w:hAnsi="宋体" w:cs="宋体"/>
              </w:rPr>
              <w:t>技术指标负偏离评分</w:t>
            </w:r>
          </w:p>
          <w:p w14:paraId="06E8FAA2">
            <w:pPr>
              <w:widowControl/>
              <w:textAlignment w:val="center"/>
              <w:rPr>
                <w:lang w:eastAsia="zh-Hans"/>
              </w:rPr>
            </w:pPr>
            <w:r>
              <w:rPr>
                <w:rFonts w:hint="eastAsia" w:ascii="宋体" w:hAnsi="宋体" w:cs="宋体"/>
              </w:rPr>
              <w:t>全部满足采购文件要求的得基准分值（标准分值），负偏离一项扣4分，最低为0分。</w:t>
            </w:r>
          </w:p>
        </w:tc>
        <w:tc>
          <w:tcPr>
            <w:tcW w:w="563" w:type="pct"/>
            <w:tcBorders>
              <w:top w:val="single" w:color="auto" w:sz="4" w:space="0"/>
              <w:left w:val="single" w:color="auto" w:sz="4" w:space="0"/>
              <w:bottom w:val="single" w:color="auto" w:sz="4" w:space="0"/>
              <w:right w:val="single" w:color="auto" w:sz="4" w:space="0"/>
            </w:tcBorders>
            <w:vAlign w:val="center"/>
          </w:tcPr>
          <w:p w14:paraId="32E3C207">
            <w:pPr>
              <w:pStyle w:val="38"/>
              <w:snapToGrid w:val="0"/>
              <w:spacing w:before="120" w:beforeAutospacing="0" w:after="120" w:afterAutospacing="0"/>
              <w:ind w:left="480" w:hanging="480"/>
              <w:jc w:val="center"/>
              <w:rPr>
                <w:rFonts w:hint="eastAsia"/>
              </w:rPr>
            </w:pPr>
            <w:r>
              <w:rPr>
                <w:rFonts w:hint="eastAsia"/>
              </w:rPr>
              <w:t>20</w:t>
            </w:r>
          </w:p>
        </w:tc>
      </w:tr>
      <w:tr w14:paraId="746ED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44" w:type="pct"/>
            <w:vMerge w:val="continue"/>
            <w:tcBorders>
              <w:left w:val="single" w:color="auto" w:sz="4" w:space="0"/>
              <w:right w:val="single" w:color="auto" w:sz="4" w:space="0"/>
            </w:tcBorders>
            <w:vAlign w:val="center"/>
          </w:tcPr>
          <w:p w14:paraId="54641EDC">
            <w:pPr>
              <w:pStyle w:val="38"/>
              <w:snapToGrid w:val="0"/>
              <w:spacing w:before="120" w:beforeAutospacing="0" w:after="120" w:afterAutospacing="0"/>
              <w:ind w:left="480" w:hanging="480"/>
              <w:rPr>
                <w:rFonts w:hint="eastAsia"/>
              </w:rPr>
            </w:pPr>
          </w:p>
        </w:tc>
        <w:tc>
          <w:tcPr>
            <w:tcW w:w="664" w:type="pct"/>
            <w:tcBorders>
              <w:top w:val="single" w:color="auto" w:sz="4" w:space="0"/>
              <w:left w:val="single" w:color="auto" w:sz="4" w:space="0"/>
              <w:right w:val="single" w:color="auto" w:sz="4" w:space="0"/>
            </w:tcBorders>
            <w:vAlign w:val="center"/>
          </w:tcPr>
          <w:p w14:paraId="2000C553">
            <w:pPr>
              <w:pStyle w:val="38"/>
              <w:snapToGrid w:val="0"/>
              <w:spacing w:before="120" w:beforeAutospacing="0" w:after="120" w:afterAutospacing="0"/>
              <w:ind w:left="480" w:hanging="480"/>
              <w:jc w:val="center"/>
              <w:rPr>
                <w:rFonts w:hint="eastAsia"/>
                <w:kern w:val="2"/>
              </w:rPr>
            </w:pPr>
            <w:r>
              <w:rPr>
                <w:rFonts w:hint="eastAsia"/>
                <w:kern w:val="2"/>
                <w:lang w:eastAsia="zh-Hans"/>
              </w:rPr>
              <w:t>技术</w:t>
            </w:r>
            <w:r>
              <w:rPr>
                <w:rFonts w:hint="eastAsia"/>
                <w:kern w:val="2"/>
              </w:rPr>
              <w:t>方案</w:t>
            </w:r>
          </w:p>
        </w:tc>
        <w:tc>
          <w:tcPr>
            <w:tcW w:w="3028" w:type="pct"/>
            <w:tcBorders>
              <w:top w:val="single" w:color="auto" w:sz="4" w:space="0"/>
              <w:left w:val="single" w:color="auto" w:sz="4" w:space="0"/>
              <w:right w:val="single" w:color="auto" w:sz="4" w:space="0"/>
            </w:tcBorders>
          </w:tcPr>
          <w:p w14:paraId="589ECE1A">
            <w:pPr>
              <w:widowControl/>
              <w:textAlignment w:val="center"/>
              <w:rPr>
                <w:rFonts w:hint="eastAsia" w:ascii="宋体" w:hAnsi="宋体" w:cs="宋体"/>
              </w:rPr>
            </w:pPr>
            <w:r>
              <w:rPr>
                <w:rFonts w:hint="eastAsia" w:ascii="宋体" w:hAnsi="宋体" w:cs="宋体"/>
              </w:rPr>
              <w:t>产品技术先进、成熟、灵活、扩展性强、兼容性强，业务流程定制灵活易用，投标人结合本项目实际情况，详细阐述系统体系架构、功能模块、实现思路和关键技术，根据</w:t>
            </w:r>
            <w:r>
              <w:rPr>
                <w:rFonts w:hint="eastAsia" w:ascii="宋体" w:hAnsi="宋体" w:cs="宋体"/>
                <w:lang w:eastAsia="zh-Hans"/>
              </w:rPr>
              <w:t>技术</w:t>
            </w:r>
            <w:r>
              <w:rPr>
                <w:rFonts w:hint="eastAsia" w:ascii="宋体" w:hAnsi="宋体" w:cs="宋体"/>
              </w:rPr>
              <w:t>方案的完整性、可行性、有效性等进行综合评分。</w:t>
            </w:r>
          </w:p>
        </w:tc>
        <w:tc>
          <w:tcPr>
            <w:tcW w:w="563" w:type="pct"/>
            <w:tcBorders>
              <w:top w:val="single" w:color="auto" w:sz="4" w:space="0"/>
              <w:left w:val="single" w:color="auto" w:sz="4" w:space="0"/>
              <w:bottom w:val="single" w:color="auto" w:sz="4" w:space="0"/>
              <w:right w:val="single" w:color="auto" w:sz="4" w:space="0"/>
            </w:tcBorders>
            <w:vAlign w:val="center"/>
          </w:tcPr>
          <w:p w14:paraId="5F55AA30">
            <w:pPr>
              <w:pStyle w:val="38"/>
              <w:snapToGrid w:val="0"/>
              <w:spacing w:before="120" w:beforeAutospacing="0" w:after="120" w:afterAutospacing="0"/>
              <w:ind w:left="480" w:hanging="480"/>
              <w:jc w:val="center"/>
              <w:rPr>
                <w:rFonts w:hint="eastAsia"/>
                <w:kern w:val="2"/>
              </w:rPr>
            </w:pPr>
            <w:r>
              <w:rPr>
                <w:rFonts w:hint="eastAsia"/>
                <w:kern w:val="2"/>
              </w:rPr>
              <w:t>11</w:t>
            </w:r>
          </w:p>
        </w:tc>
      </w:tr>
      <w:tr w14:paraId="63045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44" w:type="pct"/>
            <w:vMerge w:val="continue"/>
            <w:tcBorders>
              <w:left w:val="single" w:color="auto" w:sz="4" w:space="0"/>
              <w:right w:val="single" w:color="auto" w:sz="4" w:space="0"/>
            </w:tcBorders>
            <w:vAlign w:val="center"/>
          </w:tcPr>
          <w:p w14:paraId="5C720FAF">
            <w:pPr>
              <w:pStyle w:val="38"/>
              <w:snapToGrid w:val="0"/>
              <w:spacing w:before="120" w:beforeAutospacing="0" w:after="120" w:afterAutospacing="0"/>
              <w:ind w:left="480" w:hanging="480"/>
              <w:rPr>
                <w:rFonts w:hint="eastAsia"/>
              </w:rPr>
            </w:pPr>
          </w:p>
        </w:tc>
        <w:tc>
          <w:tcPr>
            <w:tcW w:w="664" w:type="pct"/>
            <w:tcBorders>
              <w:top w:val="single" w:color="auto" w:sz="4" w:space="0"/>
              <w:left w:val="single" w:color="auto" w:sz="4" w:space="0"/>
              <w:right w:val="single" w:color="auto" w:sz="4" w:space="0"/>
            </w:tcBorders>
            <w:vAlign w:val="center"/>
          </w:tcPr>
          <w:p w14:paraId="1ED0969A">
            <w:pPr>
              <w:pStyle w:val="38"/>
              <w:snapToGrid w:val="0"/>
              <w:spacing w:before="120" w:beforeAutospacing="0" w:after="120" w:afterAutospacing="0"/>
              <w:ind w:left="480" w:hanging="480"/>
              <w:jc w:val="center"/>
              <w:rPr>
                <w:rFonts w:hint="eastAsia"/>
                <w:kern w:val="2"/>
                <w:lang w:eastAsia="zh-Hans"/>
              </w:rPr>
            </w:pPr>
            <w:r>
              <w:rPr>
                <w:rFonts w:hint="eastAsia"/>
                <w:kern w:val="2"/>
                <w:lang w:eastAsia="zh-Hans"/>
              </w:rPr>
              <w:t>技术开发及经营能力</w:t>
            </w:r>
          </w:p>
        </w:tc>
        <w:tc>
          <w:tcPr>
            <w:tcW w:w="3028" w:type="pct"/>
            <w:tcBorders>
              <w:top w:val="single" w:color="auto" w:sz="4" w:space="0"/>
              <w:left w:val="single" w:color="auto" w:sz="4" w:space="0"/>
              <w:right w:val="single" w:color="auto" w:sz="4" w:space="0"/>
            </w:tcBorders>
          </w:tcPr>
          <w:p w14:paraId="432E463F">
            <w:pPr>
              <w:widowControl/>
              <w:textAlignment w:val="center"/>
              <w:rPr>
                <w:rFonts w:hint="eastAsia" w:ascii="宋体" w:hAnsi="宋体" w:cs="宋体"/>
              </w:rPr>
            </w:pPr>
            <w:r>
              <w:rPr>
                <w:rFonts w:hint="eastAsia" w:ascii="宋体" w:hAnsi="宋体" w:cs="宋体"/>
              </w:rPr>
              <w:t>所投软件必须为中国大陆境内生产，具备安全可靠自主可控的人力资源管理系统软件著作权证书得1分；具有职称申报管理系统相关或类似的著作权得1分；具有师德师风评价与管理系统软件相关或类似的著作权的得1分，具有绩效管理系统软件相关或类似的著作权得1分；具有聘期目标与评价管理系统软件相关或类似的著作权得1分；未提供得0分。</w:t>
            </w:r>
          </w:p>
        </w:tc>
        <w:tc>
          <w:tcPr>
            <w:tcW w:w="563" w:type="pct"/>
            <w:tcBorders>
              <w:top w:val="single" w:color="auto" w:sz="4" w:space="0"/>
              <w:left w:val="single" w:color="auto" w:sz="4" w:space="0"/>
              <w:bottom w:val="single" w:color="auto" w:sz="4" w:space="0"/>
              <w:right w:val="single" w:color="auto" w:sz="4" w:space="0"/>
            </w:tcBorders>
            <w:vAlign w:val="center"/>
          </w:tcPr>
          <w:p w14:paraId="6149B07B">
            <w:pPr>
              <w:pStyle w:val="38"/>
              <w:snapToGrid w:val="0"/>
              <w:spacing w:before="120" w:beforeAutospacing="0" w:after="120" w:afterAutospacing="0"/>
              <w:ind w:left="480" w:hanging="480"/>
              <w:jc w:val="center"/>
              <w:rPr>
                <w:rFonts w:hint="eastAsia"/>
                <w:kern w:val="2"/>
              </w:rPr>
            </w:pPr>
            <w:r>
              <w:rPr>
                <w:rFonts w:hint="eastAsia"/>
                <w:kern w:val="2"/>
              </w:rPr>
              <w:t>5</w:t>
            </w:r>
          </w:p>
        </w:tc>
      </w:tr>
      <w:tr w14:paraId="0A9B3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44" w:type="pct"/>
            <w:vMerge w:val="continue"/>
            <w:tcBorders>
              <w:left w:val="single" w:color="auto" w:sz="4" w:space="0"/>
              <w:right w:val="single" w:color="auto" w:sz="4" w:space="0"/>
            </w:tcBorders>
            <w:vAlign w:val="center"/>
          </w:tcPr>
          <w:p w14:paraId="389C68F1">
            <w:pPr>
              <w:pStyle w:val="38"/>
              <w:snapToGrid w:val="0"/>
              <w:spacing w:before="120" w:beforeAutospacing="0" w:after="120" w:afterAutospacing="0"/>
              <w:ind w:left="480" w:hanging="480"/>
              <w:rPr>
                <w:rFonts w:hint="eastAsia"/>
              </w:rPr>
            </w:pPr>
          </w:p>
        </w:tc>
        <w:tc>
          <w:tcPr>
            <w:tcW w:w="664" w:type="pct"/>
            <w:tcBorders>
              <w:top w:val="single" w:color="auto" w:sz="4" w:space="0"/>
              <w:left w:val="single" w:color="auto" w:sz="4" w:space="0"/>
              <w:right w:val="single" w:color="auto" w:sz="4" w:space="0"/>
            </w:tcBorders>
            <w:vAlign w:val="center"/>
          </w:tcPr>
          <w:p w14:paraId="6372B0ED">
            <w:pPr>
              <w:pStyle w:val="38"/>
              <w:snapToGrid w:val="0"/>
              <w:spacing w:before="120" w:beforeAutospacing="0" w:after="120" w:afterAutospacing="0"/>
              <w:ind w:left="480" w:hanging="480"/>
              <w:jc w:val="center"/>
              <w:rPr>
                <w:rFonts w:hint="eastAsia"/>
                <w:kern w:val="2"/>
              </w:rPr>
            </w:pPr>
            <w:r>
              <w:rPr>
                <w:rFonts w:hint="eastAsia"/>
                <w:kern w:val="2"/>
              </w:rPr>
              <w:t>实施</w:t>
            </w:r>
          </w:p>
          <w:p w14:paraId="41FA69F6">
            <w:pPr>
              <w:pStyle w:val="38"/>
              <w:snapToGrid w:val="0"/>
              <w:spacing w:before="120" w:beforeAutospacing="0" w:after="120" w:afterAutospacing="0"/>
              <w:ind w:left="480" w:hanging="480"/>
              <w:jc w:val="center"/>
              <w:rPr>
                <w:rFonts w:hint="eastAsia"/>
                <w:kern w:val="2"/>
                <w:lang w:eastAsia="zh-Hans"/>
              </w:rPr>
            </w:pPr>
            <w:r>
              <w:rPr>
                <w:rFonts w:hint="eastAsia"/>
                <w:kern w:val="2"/>
              </w:rPr>
              <w:t>力量</w:t>
            </w:r>
          </w:p>
        </w:tc>
        <w:tc>
          <w:tcPr>
            <w:tcW w:w="3028" w:type="pct"/>
            <w:tcBorders>
              <w:top w:val="single" w:color="auto" w:sz="4" w:space="0"/>
              <w:left w:val="single" w:color="auto" w:sz="4" w:space="0"/>
              <w:right w:val="single" w:color="auto" w:sz="4" w:space="0"/>
            </w:tcBorders>
          </w:tcPr>
          <w:p w14:paraId="3EBFD17E">
            <w:pPr>
              <w:widowControl/>
              <w:textAlignment w:val="center"/>
              <w:rPr>
                <w:rFonts w:hint="eastAsia" w:ascii="宋体" w:hAnsi="宋体" w:cs="宋体"/>
              </w:rPr>
            </w:pPr>
            <w:r>
              <w:rPr>
                <w:rFonts w:hint="eastAsia" w:ascii="宋体" w:hAnsi="宋体" w:cs="宋体"/>
              </w:rPr>
              <w:t>1.本项目负责人取得关键证书1个（信息系统项目管理师、PMP认证、系统集成项目管理工程师）的得1分，没有或无效的为0分。</w:t>
            </w:r>
          </w:p>
          <w:p w14:paraId="5FD4A16B">
            <w:pPr>
              <w:pStyle w:val="41"/>
              <w:ind w:firstLine="0" w:firstLineChars="0"/>
            </w:pPr>
            <w:r>
              <w:rPr>
                <w:rFonts w:hint="eastAsia"/>
              </w:rPr>
              <w:t>2.本项目负责人具有5年以上类似人力资源管理系统项目的实施经验并附证明材料的得1分，未提供的得0分。</w:t>
            </w:r>
          </w:p>
          <w:p w14:paraId="7B416D1E">
            <w:r>
              <w:rPr>
                <w:rFonts w:hint="eastAsia"/>
              </w:rPr>
              <w:t>3.负责本项目的实施团队其他人员不少于2人，且具有3年以上类似人力资源管理系统项目的实施经验并附证明材料的得2分，未提供的得0分。</w:t>
            </w:r>
          </w:p>
          <w:p w14:paraId="180423A4">
            <w:pPr>
              <w:widowControl/>
              <w:textAlignment w:val="center"/>
              <w:rPr>
                <w:rFonts w:hint="eastAsia" w:ascii="宋体" w:hAnsi="宋体" w:cs="宋体"/>
              </w:rPr>
            </w:pPr>
            <w:r>
              <w:rPr>
                <w:rFonts w:hint="eastAsia" w:ascii="宋体" w:hAnsi="宋体" w:cs="宋体"/>
              </w:rPr>
              <w:t>注：①项目负责人须提供有效资质证书复印件加盖供应商公章。②提供开标截止日期前最近三个月供应商为其项目负责人及实施团队其他人员缴纳的社保证明材料并加盖供应商公章。③实施经验相关证明材料以提供的销售合同、验收报告和不低于合同金额50%相关银行收款进账凭证复印件为准，合同方必须与投标供应商名称完全一致；验收报告需分别体现项目负责人姓名、其他团队人员姓名，并加盖供应商公章。</w:t>
            </w:r>
          </w:p>
        </w:tc>
        <w:tc>
          <w:tcPr>
            <w:tcW w:w="563" w:type="pct"/>
            <w:tcBorders>
              <w:top w:val="single" w:color="auto" w:sz="4" w:space="0"/>
              <w:left w:val="single" w:color="auto" w:sz="4" w:space="0"/>
              <w:bottom w:val="single" w:color="auto" w:sz="4" w:space="0"/>
              <w:right w:val="single" w:color="auto" w:sz="4" w:space="0"/>
            </w:tcBorders>
            <w:vAlign w:val="center"/>
          </w:tcPr>
          <w:p w14:paraId="71D81B46">
            <w:pPr>
              <w:pStyle w:val="38"/>
              <w:snapToGrid w:val="0"/>
              <w:spacing w:before="120" w:beforeAutospacing="0" w:after="120" w:afterAutospacing="0"/>
              <w:ind w:left="480" w:hanging="480"/>
              <w:jc w:val="center"/>
              <w:rPr>
                <w:rFonts w:hint="eastAsia"/>
                <w:kern w:val="2"/>
              </w:rPr>
            </w:pPr>
            <w:r>
              <w:rPr>
                <w:rFonts w:hint="eastAsia"/>
                <w:kern w:val="2"/>
              </w:rPr>
              <w:t>4</w:t>
            </w:r>
          </w:p>
        </w:tc>
      </w:tr>
      <w:tr w14:paraId="2D84C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44" w:type="pct"/>
            <w:vMerge w:val="restart"/>
            <w:tcBorders>
              <w:top w:val="single" w:color="auto" w:sz="4" w:space="0"/>
              <w:left w:val="single" w:color="auto" w:sz="4" w:space="0"/>
              <w:right w:val="single" w:color="auto" w:sz="4" w:space="0"/>
            </w:tcBorders>
            <w:vAlign w:val="center"/>
          </w:tcPr>
          <w:p w14:paraId="00B2AD3B">
            <w:pPr>
              <w:pStyle w:val="38"/>
              <w:snapToGrid w:val="0"/>
              <w:spacing w:before="120" w:beforeAutospacing="0" w:after="120" w:afterAutospacing="0"/>
              <w:ind w:left="480" w:hanging="480"/>
              <w:jc w:val="center"/>
              <w:rPr>
                <w:rFonts w:hint="eastAsia"/>
              </w:rPr>
            </w:pPr>
            <w:r>
              <w:rPr>
                <w:rFonts w:hint="eastAsia"/>
              </w:rPr>
              <w:t>商务部分</w:t>
            </w:r>
          </w:p>
          <w:p w14:paraId="61AC50F3">
            <w:pPr>
              <w:pStyle w:val="38"/>
              <w:snapToGrid w:val="0"/>
              <w:spacing w:before="120" w:beforeAutospacing="0" w:after="120" w:afterAutospacing="0"/>
              <w:ind w:left="480" w:hanging="480"/>
              <w:jc w:val="center"/>
              <w:rPr>
                <w:rFonts w:hint="eastAsia"/>
              </w:rPr>
            </w:pPr>
            <w:r>
              <w:rPr>
                <w:rFonts w:hint="eastAsia"/>
              </w:rPr>
              <w:t>（20分）</w:t>
            </w:r>
          </w:p>
        </w:tc>
        <w:tc>
          <w:tcPr>
            <w:tcW w:w="664" w:type="pct"/>
            <w:tcBorders>
              <w:top w:val="single" w:color="auto" w:sz="4" w:space="0"/>
              <w:left w:val="single" w:color="auto" w:sz="4" w:space="0"/>
              <w:right w:val="single" w:color="auto" w:sz="4" w:space="0"/>
            </w:tcBorders>
            <w:vAlign w:val="center"/>
          </w:tcPr>
          <w:p w14:paraId="2AAA740A">
            <w:pPr>
              <w:pStyle w:val="38"/>
              <w:snapToGrid w:val="0"/>
              <w:spacing w:before="120" w:beforeAutospacing="0" w:after="120" w:afterAutospacing="0"/>
              <w:ind w:left="480" w:hanging="480"/>
              <w:jc w:val="center"/>
              <w:rPr>
                <w:rFonts w:hint="eastAsia"/>
                <w:kern w:val="2"/>
              </w:rPr>
            </w:pPr>
            <w:r>
              <w:rPr>
                <w:rFonts w:hint="eastAsia"/>
                <w:kern w:val="2"/>
              </w:rPr>
              <w:t>企业实力</w:t>
            </w:r>
          </w:p>
        </w:tc>
        <w:tc>
          <w:tcPr>
            <w:tcW w:w="3028" w:type="pct"/>
            <w:tcBorders>
              <w:top w:val="single" w:color="auto" w:sz="4" w:space="0"/>
              <w:left w:val="single" w:color="auto" w:sz="4" w:space="0"/>
              <w:right w:val="single" w:color="auto" w:sz="4" w:space="0"/>
            </w:tcBorders>
          </w:tcPr>
          <w:p w14:paraId="683268F0">
            <w:pPr>
              <w:rPr>
                <w:rFonts w:hint="eastAsia" w:ascii="宋体" w:hAnsi="宋体" w:cs="宋体"/>
              </w:rPr>
            </w:pPr>
            <w:r>
              <w:rPr>
                <w:rFonts w:hint="eastAsia" w:ascii="宋体" w:hAnsi="宋体" w:cs="宋体"/>
              </w:rPr>
              <w:t>1.所投软件</w:t>
            </w:r>
            <w:r>
              <w:rPr>
                <w:rFonts w:hint="eastAsia"/>
              </w:rPr>
              <w:t>取得且处于有效期内的</w:t>
            </w:r>
            <w:r>
              <w:rPr>
                <w:rFonts w:hint="eastAsia" w:ascii="宋体" w:hAnsi="宋体" w:cs="宋体"/>
              </w:rPr>
              <w:t>ISO27001信息安全管理体系的得1分，</w:t>
            </w:r>
            <w:r>
              <w:rPr>
                <w:rFonts w:hint="eastAsia"/>
              </w:rPr>
              <w:t>没有或无效的为0分</w:t>
            </w:r>
            <w:r>
              <w:rPr>
                <w:rFonts w:hint="eastAsia" w:ascii="宋体" w:hAnsi="宋体" w:cs="宋体"/>
              </w:rPr>
              <w:t>。</w:t>
            </w:r>
          </w:p>
          <w:p w14:paraId="70F0C010">
            <w:pPr>
              <w:rPr>
                <w:rFonts w:hint="eastAsia" w:ascii="宋体" w:hAnsi="宋体" w:cs="宋体"/>
              </w:rPr>
            </w:pPr>
            <w:r>
              <w:rPr>
                <w:rFonts w:hint="eastAsia" w:ascii="宋体" w:hAnsi="宋体" w:cs="宋体"/>
              </w:rPr>
              <w:t>2.所投软件</w:t>
            </w:r>
            <w:r>
              <w:rPr>
                <w:rFonts w:hint="eastAsia"/>
              </w:rPr>
              <w:t>取得且处于有效期内的</w:t>
            </w:r>
            <w:r>
              <w:rPr>
                <w:rFonts w:hint="eastAsia" w:ascii="宋体" w:hAnsi="宋体" w:cs="宋体"/>
              </w:rPr>
              <w:t>ISO20000IT服务管理体系的得1分，</w:t>
            </w:r>
            <w:r>
              <w:rPr>
                <w:rFonts w:hint="eastAsia"/>
              </w:rPr>
              <w:t>没有或无效的为0分</w:t>
            </w:r>
            <w:r>
              <w:rPr>
                <w:rFonts w:hint="eastAsia" w:ascii="宋体" w:hAnsi="宋体" w:cs="宋体"/>
              </w:rPr>
              <w:t>。</w:t>
            </w:r>
          </w:p>
          <w:p w14:paraId="5F050FD6">
            <w:pPr>
              <w:widowControl/>
              <w:textAlignment w:val="center"/>
              <w:rPr>
                <w:rFonts w:hint="eastAsia" w:ascii="宋体" w:hAnsi="宋体" w:cs="宋体"/>
              </w:rPr>
            </w:pPr>
            <w:r>
              <w:rPr>
                <w:rFonts w:hint="eastAsia"/>
              </w:rPr>
              <w:t>3.所投软件取得且处于有效期内的IS09001或GB/T19001或GJB9001质量管理体系认证证书的得1分，没有或无效的为0分。</w:t>
            </w:r>
          </w:p>
        </w:tc>
        <w:tc>
          <w:tcPr>
            <w:tcW w:w="563" w:type="pct"/>
            <w:tcBorders>
              <w:top w:val="single" w:color="auto" w:sz="4" w:space="0"/>
              <w:left w:val="single" w:color="auto" w:sz="4" w:space="0"/>
              <w:bottom w:val="single" w:color="auto" w:sz="4" w:space="0"/>
              <w:right w:val="single" w:color="auto" w:sz="4" w:space="0"/>
            </w:tcBorders>
            <w:vAlign w:val="center"/>
          </w:tcPr>
          <w:p w14:paraId="603D5F7B">
            <w:pPr>
              <w:pStyle w:val="38"/>
              <w:snapToGrid w:val="0"/>
              <w:spacing w:before="120" w:beforeAutospacing="0" w:after="120" w:afterAutospacing="0"/>
              <w:ind w:left="480" w:hanging="480"/>
              <w:jc w:val="center"/>
              <w:rPr>
                <w:rFonts w:hint="eastAsia"/>
                <w:kern w:val="2"/>
              </w:rPr>
            </w:pPr>
            <w:r>
              <w:rPr>
                <w:rFonts w:hint="eastAsia"/>
              </w:rPr>
              <w:t>3</w:t>
            </w:r>
          </w:p>
        </w:tc>
      </w:tr>
      <w:tr w14:paraId="5B650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0" w:hRule="atLeast"/>
          <w:jc w:val="center"/>
        </w:trPr>
        <w:tc>
          <w:tcPr>
            <w:tcW w:w="744" w:type="pct"/>
            <w:vMerge w:val="continue"/>
            <w:tcBorders>
              <w:left w:val="single" w:color="auto" w:sz="4" w:space="0"/>
              <w:right w:val="single" w:color="auto" w:sz="4" w:space="0"/>
            </w:tcBorders>
            <w:vAlign w:val="center"/>
          </w:tcPr>
          <w:p w14:paraId="5A4FC78C">
            <w:pPr>
              <w:pStyle w:val="38"/>
              <w:snapToGrid w:val="0"/>
              <w:spacing w:before="120" w:beforeAutospacing="0" w:after="120" w:afterAutospacing="0"/>
              <w:ind w:left="480" w:hanging="480"/>
              <w:rPr>
                <w:rFonts w:hint="eastAsia"/>
              </w:rPr>
            </w:pPr>
          </w:p>
        </w:tc>
        <w:tc>
          <w:tcPr>
            <w:tcW w:w="664" w:type="pct"/>
            <w:tcBorders>
              <w:left w:val="single" w:color="auto" w:sz="4" w:space="0"/>
              <w:right w:val="single" w:color="auto" w:sz="4" w:space="0"/>
            </w:tcBorders>
            <w:vAlign w:val="center"/>
          </w:tcPr>
          <w:p w14:paraId="41A73EF2">
            <w:pPr>
              <w:pStyle w:val="38"/>
              <w:snapToGrid w:val="0"/>
              <w:spacing w:before="120" w:beforeAutospacing="0" w:after="120" w:afterAutospacing="0"/>
              <w:ind w:left="456" w:hanging="456"/>
              <w:jc w:val="center"/>
              <w:rPr>
                <w:rFonts w:hint="eastAsia"/>
              </w:rPr>
            </w:pPr>
            <w:r>
              <w:rPr>
                <w:rFonts w:hint="eastAsia"/>
                <w:spacing w:val="-6"/>
              </w:rPr>
              <w:t>等保及数据安全体系</w:t>
            </w:r>
          </w:p>
        </w:tc>
        <w:tc>
          <w:tcPr>
            <w:tcW w:w="3028" w:type="pct"/>
            <w:tcBorders>
              <w:top w:val="single" w:color="auto" w:sz="4" w:space="0"/>
              <w:left w:val="single" w:color="auto" w:sz="4" w:space="0"/>
              <w:right w:val="single" w:color="auto" w:sz="4" w:space="0"/>
            </w:tcBorders>
            <w:vAlign w:val="center"/>
          </w:tcPr>
          <w:p w14:paraId="482691C5">
            <w:pPr>
              <w:pStyle w:val="207"/>
              <w:jc w:val="left"/>
              <w:rPr>
                <w:rFonts w:hint="eastAsia"/>
                <w:b w:val="0"/>
                <w:bCs w:val="0"/>
                <w:spacing w:val="-6"/>
                <w:kern w:val="2"/>
                <w:szCs w:val="24"/>
              </w:rPr>
            </w:pPr>
            <w:r>
              <w:rPr>
                <w:rFonts w:hint="eastAsia"/>
                <w:b w:val="0"/>
                <w:bCs w:val="0"/>
                <w:spacing w:val="-6"/>
                <w:kern w:val="2"/>
                <w:szCs w:val="24"/>
              </w:rPr>
              <w:t>1.所投软件系统具有检验检测资质的第三方机构出具的业务应用软件安全计算环境测评报告，检测内容必须包括身份鉴别、访问控制、安全审计、数据完整性、数据保密性、数据备份恢复、剩余信息保护、个人信息保护、WEB应用安全漏洞扫描等内容，提供得2分，未提供得0分。</w:t>
            </w:r>
          </w:p>
          <w:p w14:paraId="0AB313D4">
            <w:pPr>
              <w:pStyle w:val="207"/>
              <w:jc w:val="left"/>
              <w:rPr>
                <w:rFonts w:hint="eastAsia"/>
                <w:b w:val="0"/>
                <w:bCs w:val="0"/>
                <w:spacing w:val="-6"/>
                <w:kern w:val="2"/>
                <w:szCs w:val="24"/>
              </w:rPr>
            </w:pPr>
            <w:r>
              <w:rPr>
                <w:rFonts w:hint="eastAsia"/>
                <w:b w:val="0"/>
                <w:bCs w:val="0"/>
                <w:spacing w:val="-6"/>
                <w:kern w:val="2"/>
                <w:szCs w:val="24"/>
              </w:rPr>
              <w:t>2.自2023年1月1日起至投标截止日止，拟投软件系统具有信息系统安全等级备案证明资质证书三级及以上得2分，三级以下得1分，未提供得0分。</w:t>
            </w:r>
          </w:p>
        </w:tc>
        <w:tc>
          <w:tcPr>
            <w:tcW w:w="563" w:type="pct"/>
            <w:tcBorders>
              <w:top w:val="single" w:color="auto" w:sz="4" w:space="0"/>
              <w:left w:val="single" w:color="auto" w:sz="4" w:space="0"/>
              <w:bottom w:val="single" w:color="auto" w:sz="4" w:space="0"/>
              <w:right w:val="single" w:color="auto" w:sz="4" w:space="0"/>
            </w:tcBorders>
            <w:vAlign w:val="center"/>
          </w:tcPr>
          <w:p w14:paraId="130C56A7">
            <w:pPr>
              <w:pStyle w:val="38"/>
              <w:snapToGrid w:val="0"/>
              <w:spacing w:before="120" w:beforeAutospacing="0" w:after="120" w:afterAutospacing="0"/>
              <w:ind w:left="480" w:hanging="480"/>
              <w:jc w:val="center"/>
              <w:rPr>
                <w:rFonts w:hint="eastAsia"/>
              </w:rPr>
            </w:pPr>
            <w:r>
              <w:rPr>
                <w:rFonts w:hint="eastAsia"/>
              </w:rPr>
              <w:t>4</w:t>
            </w:r>
          </w:p>
        </w:tc>
      </w:tr>
      <w:tr w14:paraId="7D789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44" w:type="pct"/>
            <w:vMerge w:val="continue"/>
            <w:tcBorders>
              <w:left w:val="single" w:color="auto" w:sz="4" w:space="0"/>
              <w:right w:val="single" w:color="auto" w:sz="4" w:space="0"/>
            </w:tcBorders>
            <w:vAlign w:val="center"/>
          </w:tcPr>
          <w:p w14:paraId="4D98BDB4">
            <w:pPr>
              <w:pStyle w:val="38"/>
              <w:snapToGrid w:val="0"/>
              <w:spacing w:before="120" w:beforeAutospacing="0" w:after="120" w:afterAutospacing="0"/>
              <w:ind w:left="480" w:hanging="480"/>
              <w:rPr>
                <w:rFonts w:hint="eastAsia"/>
              </w:rPr>
            </w:pPr>
          </w:p>
        </w:tc>
        <w:tc>
          <w:tcPr>
            <w:tcW w:w="664" w:type="pct"/>
            <w:tcBorders>
              <w:left w:val="single" w:color="auto" w:sz="4" w:space="0"/>
              <w:right w:val="single" w:color="auto" w:sz="4" w:space="0"/>
            </w:tcBorders>
            <w:vAlign w:val="center"/>
          </w:tcPr>
          <w:p w14:paraId="77B29122">
            <w:pPr>
              <w:pStyle w:val="38"/>
              <w:snapToGrid w:val="0"/>
              <w:spacing w:before="120" w:beforeAutospacing="0" w:after="120" w:afterAutospacing="0"/>
              <w:ind w:left="480" w:hanging="480"/>
              <w:jc w:val="center"/>
              <w:rPr>
                <w:rFonts w:hint="eastAsia"/>
              </w:rPr>
            </w:pPr>
            <w:r>
              <w:rPr>
                <w:rFonts w:hint="eastAsia"/>
              </w:rPr>
              <w:t>同类项目业绩</w:t>
            </w:r>
          </w:p>
        </w:tc>
        <w:tc>
          <w:tcPr>
            <w:tcW w:w="3028" w:type="pct"/>
            <w:tcBorders>
              <w:top w:val="single" w:color="auto" w:sz="4" w:space="0"/>
              <w:left w:val="single" w:color="auto" w:sz="4" w:space="0"/>
              <w:right w:val="single" w:color="auto" w:sz="4" w:space="0"/>
            </w:tcBorders>
          </w:tcPr>
          <w:p w14:paraId="1876B107">
            <w:pPr>
              <w:pStyle w:val="207"/>
              <w:jc w:val="left"/>
              <w:rPr>
                <w:rFonts w:hint="eastAsia"/>
                <w:b w:val="0"/>
                <w:bCs w:val="0"/>
                <w:kern w:val="2"/>
                <w:szCs w:val="24"/>
              </w:rPr>
            </w:pPr>
            <w:r>
              <w:rPr>
                <w:rFonts w:hint="eastAsia"/>
                <w:b w:val="0"/>
                <w:bCs w:val="0"/>
                <w:kern w:val="2"/>
                <w:szCs w:val="24"/>
              </w:rPr>
              <w:t>提供近三年具有高校人力资源管理系统软件项目业绩</w:t>
            </w:r>
            <w:r>
              <w:rPr>
                <w:rFonts w:hint="eastAsia"/>
                <w:b w:val="0"/>
                <w:bCs w:val="0"/>
                <w:kern w:val="2"/>
                <w:szCs w:val="24"/>
                <w:lang w:eastAsia="zh-Hans"/>
              </w:rPr>
              <w:t>，</w:t>
            </w:r>
            <w:r>
              <w:rPr>
                <w:rFonts w:hint="eastAsia"/>
                <w:b w:val="0"/>
                <w:bCs w:val="0"/>
                <w:kern w:val="2"/>
                <w:szCs w:val="24"/>
              </w:rPr>
              <w:t>单个</w:t>
            </w:r>
            <w:r>
              <w:rPr>
                <w:rFonts w:hint="eastAsia"/>
                <w:b w:val="0"/>
                <w:bCs w:val="0"/>
                <w:kern w:val="2"/>
                <w:szCs w:val="24"/>
                <w:lang w:eastAsia="zh-Hans"/>
              </w:rPr>
              <w:t>合同金额≥</w:t>
            </w:r>
            <w:r>
              <w:rPr>
                <w:rFonts w:hint="eastAsia"/>
                <w:b w:val="0"/>
                <w:bCs w:val="0"/>
                <w:kern w:val="2"/>
                <w:szCs w:val="24"/>
              </w:rPr>
              <w:t>4</w:t>
            </w:r>
            <w:r>
              <w:rPr>
                <w:b w:val="0"/>
                <w:bCs w:val="0"/>
                <w:kern w:val="2"/>
                <w:szCs w:val="24"/>
                <w:lang w:eastAsia="zh-Hans"/>
              </w:rPr>
              <w:t>0</w:t>
            </w:r>
            <w:r>
              <w:rPr>
                <w:rFonts w:hint="eastAsia"/>
                <w:b w:val="0"/>
                <w:bCs w:val="0"/>
                <w:kern w:val="2"/>
                <w:szCs w:val="24"/>
                <w:lang w:eastAsia="zh-Hans"/>
              </w:rPr>
              <w:t>万</w:t>
            </w:r>
            <w:r>
              <w:rPr>
                <w:rFonts w:hint="eastAsia"/>
                <w:b w:val="0"/>
                <w:bCs w:val="0"/>
                <w:kern w:val="2"/>
                <w:szCs w:val="24"/>
              </w:rPr>
              <w:t>元（提供合同复印件，原件现场备查，未提交的不计分），每提供1个得1分，本项最多得5分。</w:t>
            </w:r>
          </w:p>
          <w:p w14:paraId="1C720DC5">
            <w:pPr>
              <w:pStyle w:val="207"/>
              <w:jc w:val="left"/>
              <w:rPr>
                <w:rFonts w:hint="eastAsia"/>
                <w:b w:val="0"/>
                <w:bCs w:val="0"/>
                <w:spacing w:val="-6"/>
                <w:kern w:val="2"/>
                <w:szCs w:val="24"/>
              </w:rPr>
            </w:pPr>
            <w:r>
              <w:rPr>
                <w:rFonts w:hint="eastAsia"/>
                <w:b w:val="0"/>
                <w:bCs w:val="0"/>
                <w:kern w:val="2"/>
                <w:szCs w:val="24"/>
              </w:rPr>
              <w:t>（提供的合同包括首页、关键页以及盖章页，以合同复印件加盖供应商公章为准；须提供最终验收报告证明材料，并提供用户座机电话，便于采购人核查）。</w:t>
            </w:r>
          </w:p>
        </w:tc>
        <w:tc>
          <w:tcPr>
            <w:tcW w:w="563" w:type="pct"/>
            <w:tcBorders>
              <w:top w:val="single" w:color="auto" w:sz="4" w:space="0"/>
              <w:left w:val="single" w:color="auto" w:sz="4" w:space="0"/>
              <w:bottom w:val="single" w:color="auto" w:sz="4" w:space="0"/>
              <w:right w:val="single" w:color="auto" w:sz="4" w:space="0"/>
            </w:tcBorders>
            <w:vAlign w:val="center"/>
          </w:tcPr>
          <w:p w14:paraId="5E870932">
            <w:pPr>
              <w:pStyle w:val="38"/>
              <w:snapToGrid w:val="0"/>
              <w:spacing w:before="120" w:beforeAutospacing="0" w:after="120" w:afterAutospacing="0"/>
              <w:ind w:left="480" w:hanging="480"/>
              <w:jc w:val="center"/>
              <w:rPr>
                <w:rFonts w:hint="eastAsia"/>
              </w:rPr>
            </w:pPr>
            <w:r>
              <w:rPr>
                <w:rFonts w:hint="eastAsia"/>
              </w:rPr>
              <w:t>5</w:t>
            </w:r>
          </w:p>
        </w:tc>
      </w:tr>
      <w:tr w14:paraId="26052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jc w:val="center"/>
        </w:trPr>
        <w:tc>
          <w:tcPr>
            <w:tcW w:w="744" w:type="pct"/>
            <w:vMerge w:val="continue"/>
            <w:tcBorders>
              <w:left w:val="single" w:color="auto" w:sz="4" w:space="0"/>
              <w:right w:val="single" w:color="auto" w:sz="4" w:space="0"/>
            </w:tcBorders>
            <w:vAlign w:val="center"/>
          </w:tcPr>
          <w:p w14:paraId="16AD86BA">
            <w:pPr>
              <w:pStyle w:val="38"/>
              <w:snapToGrid w:val="0"/>
              <w:spacing w:before="120" w:beforeAutospacing="0" w:after="120" w:afterAutospacing="0"/>
              <w:ind w:left="480" w:hanging="480"/>
              <w:rPr>
                <w:rFonts w:hint="eastAsia"/>
              </w:rPr>
            </w:pPr>
          </w:p>
        </w:tc>
        <w:tc>
          <w:tcPr>
            <w:tcW w:w="664" w:type="pct"/>
            <w:tcBorders>
              <w:left w:val="single" w:color="auto" w:sz="4" w:space="0"/>
              <w:right w:val="single" w:color="auto" w:sz="4" w:space="0"/>
            </w:tcBorders>
            <w:vAlign w:val="center"/>
          </w:tcPr>
          <w:p w14:paraId="1A165C9F">
            <w:pPr>
              <w:pStyle w:val="38"/>
              <w:snapToGrid w:val="0"/>
              <w:spacing w:before="120" w:beforeAutospacing="0" w:after="120" w:afterAutospacing="0"/>
              <w:ind w:left="480" w:hanging="480"/>
              <w:jc w:val="center"/>
              <w:rPr>
                <w:rFonts w:hint="eastAsia"/>
                <w:lang w:eastAsia="zh-Hans"/>
              </w:rPr>
            </w:pPr>
            <w:r>
              <w:rPr>
                <w:rFonts w:hint="eastAsia"/>
              </w:rPr>
              <w:t>培训和保障方案</w:t>
            </w:r>
          </w:p>
        </w:tc>
        <w:tc>
          <w:tcPr>
            <w:tcW w:w="3028" w:type="pct"/>
            <w:tcBorders>
              <w:top w:val="single" w:color="auto" w:sz="4" w:space="0"/>
              <w:left w:val="single" w:color="auto" w:sz="4" w:space="0"/>
              <w:right w:val="single" w:color="auto" w:sz="4" w:space="0"/>
            </w:tcBorders>
          </w:tcPr>
          <w:p w14:paraId="66EC0B70">
            <w:pPr>
              <w:pStyle w:val="207"/>
              <w:jc w:val="left"/>
              <w:rPr>
                <w:rFonts w:hint="eastAsia"/>
                <w:b w:val="0"/>
                <w:bCs w:val="0"/>
                <w:spacing w:val="-6"/>
                <w:kern w:val="2"/>
                <w:szCs w:val="24"/>
              </w:rPr>
            </w:pPr>
            <w:r>
              <w:rPr>
                <w:rFonts w:hint="eastAsia"/>
                <w:b w:val="0"/>
                <w:bCs w:val="0"/>
                <w:spacing w:val="-6"/>
                <w:kern w:val="2"/>
                <w:szCs w:val="24"/>
              </w:rPr>
              <w:t>提供系统管理和使用培训方案，培训方案中针对培训对象全覆盖且时间和周期安排合理得3分；培训方案中针对培训对象全覆盖且时间和周期安排较为合理得2分；培训方案中针对培训对象全覆盖且时间和周期安排基本合理得1分；培训方案中未针对培训对象全覆盖且时间和周期安排差或未提供的得0分。</w:t>
            </w:r>
          </w:p>
        </w:tc>
        <w:tc>
          <w:tcPr>
            <w:tcW w:w="563" w:type="pct"/>
            <w:tcBorders>
              <w:top w:val="single" w:color="auto" w:sz="4" w:space="0"/>
              <w:left w:val="single" w:color="auto" w:sz="4" w:space="0"/>
              <w:bottom w:val="single" w:color="auto" w:sz="4" w:space="0"/>
              <w:right w:val="single" w:color="auto" w:sz="4" w:space="0"/>
            </w:tcBorders>
            <w:vAlign w:val="center"/>
          </w:tcPr>
          <w:p w14:paraId="087FB310">
            <w:pPr>
              <w:pStyle w:val="38"/>
              <w:snapToGrid w:val="0"/>
              <w:spacing w:before="120" w:beforeAutospacing="0" w:after="120" w:afterAutospacing="0"/>
              <w:ind w:left="480" w:hanging="480"/>
              <w:jc w:val="center"/>
              <w:rPr>
                <w:rFonts w:hint="eastAsia"/>
              </w:rPr>
            </w:pPr>
            <w:r>
              <w:rPr>
                <w:rFonts w:hint="eastAsia"/>
              </w:rPr>
              <w:t>3</w:t>
            </w:r>
          </w:p>
        </w:tc>
      </w:tr>
      <w:tr w14:paraId="084E4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44" w:type="pct"/>
            <w:vMerge w:val="continue"/>
            <w:tcBorders>
              <w:left w:val="single" w:color="auto" w:sz="4" w:space="0"/>
              <w:right w:val="single" w:color="auto" w:sz="4" w:space="0"/>
            </w:tcBorders>
            <w:vAlign w:val="center"/>
          </w:tcPr>
          <w:p w14:paraId="2F60D549">
            <w:pPr>
              <w:pStyle w:val="38"/>
              <w:snapToGrid w:val="0"/>
              <w:spacing w:before="120" w:beforeAutospacing="0" w:after="120" w:afterAutospacing="0"/>
              <w:ind w:left="480" w:hanging="480"/>
              <w:rPr>
                <w:rFonts w:hint="eastAsia"/>
              </w:rPr>
            </w:pPr>
          </w:p>
        </w:tc>
        <w:tc>
          <w:tcPr>
            <w:tcW w:w="664" w:type="pct"/>
            <w:tcBorders>
              <w:left w:val="single" w:color="auto" w:sz="4" w:space="0"/>
              <w:right w:val="single" w:color="auto" w:sz="4" w:space="0"/>
            </w:tcBorders>
            <w:vAlign w:val="center"/>
          </w:tcPr>
          <w:p w14:paraId="30E32AAF">
            <w:pPr>
              <w:pStyle w:val="38"/>
              <w:snapToGrid w:val="0"/>
              <w:spacing w:before="120" w:beforeAutospacing="0" w:after="120" w:afterAutospacing="0"/>
              <w:ind w:left="480" w:hanging="480"/>
              <w:jc w:val="center"/>
              <w:rPr>
                <w:rFonts w:hint="eastAsia"/>
              </w:rPr>
            </w:pPr>
            <w:r>
              <w:rPr>
                <w:rFonts w:hint="eastAsia"/>
              </w:rPr>
              <w:t>售后服务</w:t>
            </w:r>
          </w:p>
        </w:tc>
        <w:tc>
          <w:tcPr>
            <w:tcW w:w="3028" w:type="pct"/>
            <w:tcBorders>
              <w:top w:val="single" w:color="auto" w:sz="4" w:space="0"/>
              <w:left w:val="single" w:color="auto" w:sz="4" w:space="0"/>
              <w:right w:val="single" w:color="auto" w:sz="4" w:space="0"/>
            </w:tcBorders>
          </w:tcPr>
          <w:p w14:paraId="15E95B43">
            <w:pPr>
              <w:widowControl/>
              <w:textAlignment w:val="center"/>
              <w:rPr>
                <w:rFonts w:hint="eastAsia" w:ascii="宋体" w:hAnsi="宋体" w:cs="宋体"/>
              </w:rPr>
            </w:pPr>
            <w:r>
              <w:rPr>
                <w:rFonts w:hint="eastAsia" w:ascii="宋体" w:hAnsi="宋体" w:cs="宋体"/>
              </w:rPr>
              <w:t>1.本地售后服务机构</w:t>
            </w:r>
          </w:p>
          <w:p w14:paraId="345ECB18">
            <w:pPr>
              <w:widowControl/>
              <w:textAlignment w:val="center"/>
              <w:rPr>
                <w:spacing w:val="-6"/>
                <w:szCs w:val="24"/>
              </w:rPr>
            </w:pPr>
            <w:r>
              <w:rPr>
                <w:rFonts w:hint="eastAsia" w:ascii="宋体" w:hAnsi="宋体" w:cs="宋体"/>
              </w:rPr>
              <w:t>投标人在重庆本地有售后服务机构和售后服务团队的得3分，未提供不得分（投标文件中提供在渝工商注册证明复印件，办公场地房产证明或房屋租赁合同证明，租赁合同需包含租赁人联系方式，租赁场所的需提供最近一年的付款凭证及发票；至少提供两名售后服务团队人员名册，包括姓名、职务、联系方式，并提供身份证复印件和投标供应商为其缴纳社保证明（投标截止日期前三个月）。</w:t>
            </w:r>
          </w:p>
          <w:p w14:paraId="33A22293">
            <w:pPr>
              <w:pStyle w:val="207"/>
              <w:jc w:val="left"/>
              <w:rPr>
                <w:rFonts w:hint="eastAsia"/>
                <w:b w:val="0"/>
                <w:bCs w:val="0"/>
                <w:spacing w:val="-6"/>
                <w:kern w:val="2"/>
                <w:szCs w:val="24"/>
              </w:rPr>
            </w:pPr>
            <w:r>
              <w:rPr>
                <w:rFonts w:hint="eastAsia"/>
                <w:b w:val="0"/>
                <w:bCs w:val="0"/>
                <w:spacing w:val="-6"/>
                <w:kern w:val="2"/>
                <w:szCs w:val="24"/>
              </w:rPr>
              <w:t>2.售后服务方案</w:t>
            </w:r>
          </w:p>
          <w:p w14:paraId="6E15267C">
            <w:pPr>
              <w:pStyle w:val="207"/>
              <w:jc w:val="left"/>
              <w:rPr>
                <w:rFonts w:hint="eastAsia"/>
                <w:b w:val="0"/>
                <w:bCs w:val="0"/>
                <w:kern w:val="2"/>
                <w:szCs w:val="24"/>
              </w:rPr>
            </w:pPr>
            <w:r>
              <w:rPr>
                <w:rFonts w:hint="eastAsia"/>
                <w:b w:val="0"/>
                <w:bCs w:val="0"/>
                <w:kern w:val="2"/>
                <w:szCs w:val="24"/>
              </w:rPr>
              <w:t>要求方案详细具体、科学合理、服务人员保障度高、响应及时，维保体系健全。评委根据售后服务方案及售后服务能力综合进行评分。优秀计2分，良好计1分，基本合理计0.5分，不合理或无计0分</w:t>
            </w:r>
          </w:p>
        </w:tc>
        <w:tc>
          <w:tcPr>
            <w:tcW w:w="563" w:type="pct"/>
            <w:tcBorders>
              <w:top w:val="single" w:color="auto" w:sz="4" w:space="0"/>
              <w:left w:val="single" w:color="auto" w:sz="4" w:space="0"/>
              <w:bottom w:val="single" w:color="auto" w:sz="4" w:space="0"/>
              <w:right w:val="single" w:color="auto" w:sz="4" w:space="0"/>
            </w:tcBorders>
            <w:vAlign w:val="center"/>
          </w:tcPr>
          <w:p w14:paraId="3C724F05">
            <w:pPr>
              <w:pStyle w:val="38"/>
              <w:snapToGrid w:val="0"/>
              <w:spacing w:before="120" w:beforeAutospacing="0" w:after="120" w:afterAutospacing="0"/>
              <w:ind w:left="480" w:hanging="480"/>
              <w:jc w:val="center"/>
              <w:rPr>
                <w:rFonts w:hint="eastAsia"/>
              </w:rPr>
            </w:pPr>
            <w:r>
              <w:rPr>
                <w:rFonts w:hint="eastAsia"/>
              </w:rPr>
              <w:t>5</w:t>
            </w:r>
          </w:p>
        </w:tc>
      </w:tr>
      <w:tr w14:paraId="0C665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44" w:type="pct"/>
            <w:tcBorders>
              <w:left w:val="single" w:color="auto" w:sz="4" w:space="0"/>
              <w:bottom w:val="single" w:color="auto" w:sz="4" w:space="0"/>
              <w:right w:val="single" w:color="auto" w:sz="4" w:space="0"/>
            </w:tcBorders>
            <w:vAlign w:val="center"/>
          </w:tcPr>
          <w:p w14:paraId="3D69EB84">
            <w:pPr>
              <w:pStyle w:val="38"/>
              <w:snapToGrid w:val="0"/>
              <w:spacing w:before="120" w:beforeAutospacing="0" w:after="120" w:afterAutospacing="0"/>
              <w:ind w:left="480" w:hanging="480"/>
              <w:jc w:val="center"/>
              <w:rPr>
                <w:rFonts w:hint="eastAsia"/>
              </w:rPr>
            </w:pPr>
            <w:r>
              <w:rPr>
                <w:rFonts w:hint="eastAsia"/>
              </w:rPr>
              <w:t>合计</w:t>
            </w:r>
          </w:p>
        </w:tc>
        <w:tc>
          <w:tcPr>
            <w:tcW w:w="664" w:type="pct"/>
            <w:tcBorders>
              <w:left w:val="single" w:color="auto" w:sz="4" w:space="0"/>
              <w:bottom w:val="single" w:color="auto" w:sz="4" w:space="0"/>
              <w:right w:val="single" w:color="auto" w:sz="4" w:space="0"/>
            </w:tcBorders>
            <w:vAlign w:val="center"/>
          </w:tcPr>
          <w:p w14:paraId="237CFEFF">
            <w:pPr>
              <w:pStyle w:val="38"/>
              <w:snapToGrid w:val="0"/>
              <w:spacing w:before="120" w:beforeAutospacing="0" w:after="120" w:afterAutospacing="0"/>
              <w:ind w:left="480" w:hanging="480"/>
              <w:rPr>
                <w:rFonts w:hint="eastAsia"/>
              </w:rPr>
            </w:pPr>
          </w:p>
        </w:tc>
        <w:tc>
          <w:tcPr>
            <w:tcW w:w="3028" w:type="pct"/>
            <w:tcBorders>
              <w:top w:val="single" w:color="auto" w:sz="4" w:space="0"/>
              <w:left w:val="single" w:color="auto" w:sz="4" w:space="0"/>
              <w:bottom w:val="single" w:color="auto" w:sz="4" w:space="0"/>
              <w:right w:val="single" w:color="auto" w:sz="4" w:space="0"/>
            </w:tcBorders>
            <w:vAlign w:val="center"/>
          </w:tcPr>
          <w:p w14:paraId="0D4F4086">
            <w:pPr>
              <w:pStyle w:val="38"/>
              <w:snapToGrid w:val="0"/>
              <w:spacing w:before="120" w:beforeAutospacing="0" w:after="120" w:afterAutospacing="0"/>
              <w:ind w:left="480" w:hanging="480"/>
              <w:rPr>
                <w:rFonts w:hint="eastAsia"/>
              </w:rPr>
            </w:pPr>
          </w:p>
        </w:tc>
        <w:tc>
          <w:tcPr>
            <w:tcW w:w="563" w:type="pct"/>
            <w:tcBorders>
              <w:top w:val="single" w:color="auto" w:sz="4" w:space="0"/>
              <w:left w:val="single" w:color="auto" w:sz="4" w:space="0"/>
              <w:bottom w:val="single" w:color="auto" w:sz="4" w:space="0"/>
              <w:right w:val="single" w:color="auto" w:sz="4" w:space="0"/>
            </w:tcBorders>
            <w:vAlign w:val="center"/>
          </w:tcPr>
          <w:p w14:paraId="346B1DE3">
            <w:pPr>
              <w:pStyle w:val="38"/>
              <w:snapToGrid w:val="0"/>
              <w:spacing w:before="120" w:beforeAutospacing="0" w:after="120" w:afterAutospacing="0"/>
              <w:ind w:left="480" w:hanging="480"/>
              <w:jc w:val="center"/>
              <w:rPr>
                <w:rFonts w:hint="eastAsia"/>
              </w:rPr>
            </w:pPr>
            <w:r>
              <w:fldChar w:fldCharType="begin"/>
            </w:r>
            <w:r>
              <w:instrText xml:space="preserve"> =SUM(ABOVE) </w:instrText>
            </w:r>
            <w:r>
              <w:fldChar w:fldCharType="separate"/>
            </w:r>
            <w:r>
              <w:t>100</w:t>
            </w:r>
            <w:r>
              <w:fldChar w:fldCharType="end"/>
            </w:r>
          </w:p>
        </w:tc>
      </w:tr>
      <w:bookmarkEnd w:id="228"/>
    </w:tbl>
    <w:p w14:paraId="2A1C7643">
      <w:pPr>
        <w:widowControl/>
        <w:jc w:val="left"/>
        <w:rPr>
          <w:rFonts w:hint="eastAsia" w:ascii="方正小标宋_GBK" w:hAnsi="方正小标宋_GBK" w:eastAsia="方正小标宋_GBK" w:cs="方正小标宋_GBK"/>
          <w:kern w:val="44"/>
          <w:sz w:val="44"/>
          <w:szCs w:val="44"/>
        </w:rPr>
      </w:pPr>
      <w:bookmarkStart w:id="229" w:name="_第五章_投标文件格式"/>
      <w:r>
        <w:rPr>
          <w:rFonts w:hint="eastAsia" w:ascii="方正小标宋_GBK" w:hAnsi="方正小标宋_GBK" w:eastAsia="方正小标宋_GBK" w:cs="方正小标宋_GBK"/>
          <w:b/>
          <w:bCs/>
        </w:rPr>
        <w:br w:type="page"/>
      </w:r>
    </w:p>
    <w:p w14:paraId="6A041025">
      <w:pPr>
        <w:pStyle w:val="2"/>
        <w:numPr>
          <w:ilvl w:val="0"/>
          <w:numId w:val="0"/>
        </w:numPr>
        <w:spacing w:before="0" w:after="0" w:line="520" w:lineRule="exact"/>
        <w:jc w:val="center"/>
        <w:rPr>
          <w:rFonts w:hint="eastAsia" w:ascii="方正小标宋_GBK" w:hAnsi="方正小标宋_GBK" w:eastAsia="方正小标宋_GBK" w:cs="方正小标宋_GBK"/>
          <w:b w:val="0"/>
          <w:bCs w:val="0"/>
        </w:rPr>
      </w:pPr>
      <w:r>
        <w:rPr>
          <w:rFonts w:hint="eastAsia" w:ascii="方正小标宋_GBK" w:hAnsi="方正小标宋_GBK" w:eastAsia="方正小标宋_GBK" w:cs="方正小标宋_GBK"/>
          <w:b w:val="0"/>
          <w:bCs w:val="0"/>
        </w:rPr>
        <w:t>第五章 投标文件格式</w:t>
      </w:r>
      <w:bookmarkEnd w:id="224"/>
      <w:bookmarkEnd w:id="225"/>
      <w:bookmarkEnd w:id="226"/>
      <w:bookmarkEnd w:id="227"/>
    </w:p>
    <w:bookmarkEnd w:id="229"/>
    <w:p w14:paraId="38EC56DA">
      <w:pPr>
        <w:spacing w:line="520" w:lineRule="exact"/>
        <w:rPr>
          <w:rFonts w:hint="eastAsia" w:ascii="仿宋" w:hAnsi="仿宋" w:eastAsia="仿宋" w:cs="仿宋"/>
          <w:b/>
          <w:sz w:val="28"/>
          <w:szCs w:val="28"/>
        </w:rPr>
      </w:pPr>
      <w:bookmarkStart w:id="230" w:name="_Toc217446082"/>
      <w:bookmarkStart w:id="231" w:name="_Toc425408086"/>
      <w:r>
        <w:rPr>
          <w:rFonts w:hint="eastAsia" w:ascii="仿宋" w:hAnsi="仿宋" w:eastAsia="仿宋" w:cs="仿宋"/>
          <w:b/>
          <w:sz w:val="28"/>
          <w:szCs w:val="28"/>
        </w:rPr>
        <w:t>一、投 标 函</w:t>
      </w:r>
      <w:bookmarkEnd w:id="230"/>
      <w:bookmarkEnd w:id="231"/>
    </w:p>
    <w:p w14:paraId="5DCCB9E4">
      <w:pPr>
        <w:spacing w:line="520" w:lineRule="exact"/>
        <w:ind w:firstLine="280" w:firstLineChars="100"/>
        <w:rPr>
          <w:rFonts w:hint="eastAsia" w:ascii="仿宋" w:hAnsi="仿宋" w:eastAsia="仿宋" w:cs="仿宋"/>
          <w:sz w:val="28"/>
          <w:szCs w:val="28"/>
        </w:rPr>
      </w:pPr>
      <w:r>
        <w:rPr>
          <w:rFonts w:hint="eastAsia" w:ascii="仿宋" w:hAnsi="仿宋" w:eastAsia="仿宋" w:cs="仿宋"/>
          <w:sz w:val="28"/>
          <w:szCs w:val="28"/>
          <w:u w:val="single"/>
        </w:rPr>
        <w:t xml:space="preserve">       </w:t>
      </w:r>
      <w:r>
        <w:rPr>
          <w:rFonts w:hint="eastAsia" w:ascii="仿宋" w:hAnsi="仿宋" w:eastAsia="仿宋" w:cs="仿宋"/>
          <w:sz w:val="28"/>
          <w:szCs w:val="28"/>
        </w:rPr>
        <w:t>（采购人）：</w:t>
      </w:r>
    </w:p>
    <w:p w14:paraId="120451B9">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我方全面研究了“  ”项目招标文件，决定参加贵单位组织的本项目投标。我方授权（姓名、职务）代表我方（投标单位的名称）全权处理本项目投标的有关事宜。</w:t>
      </w:r>
    </w:p>
    <w:p w14:paraId="4ABFDD47">
      <w:pPr>
        <w:spacing w:line="520" w:lineRule="exact"/>
        <w:ind w:firstLine="537" w:firstLineChars="192"/>
        <w:rPr>
          <w:rFonts w:hint="eastAsia" w:ascii="仿宋" w:hAnsi="仿宋" w:eastAsia="仿宋" w:cs="仿宋"/>
          <w:sz w:val="28"/>
          <w:szCs w:val="28"/>
        </w:rPr>
      </w:pPr>
      <w:r>
        <w:rPr>
          <w:rFonts w:hint="eastAsia" w:ascii="仿宋" w:hAnsi="仿宋" w:eastAsia="仿宋" w:cs="仿宋"/>
          <w:sz w:val="28"/>
          <w:szCs w:val="28"/>
        </w:rPr>
        <w:t>1.我方自愿按照招标文件规定的各项要求向采购人提供所需货物/服务，总投标价为人民币</w:t>
      </w:r>
      <w:r>
        <w:rPr>
          <w:rFonts w:hint="eastAsia" w:ascii="仿宋" w:hAnsi="仿宋" w:eastAsia="仿宋" w:cs="仿宋"/>
          <w:sz w:val="28"/>
          <w:szCs w:val="28"/>
          <w:u w:val="single"/>
        </w:rPr>
        <w:t xml:space="preserve">       </w:t>
      </w:r>
      <w:r>
        <w:rPr>
          <w:rFonts w:hint="eastAsia" w:ascii="仿宋" w:hAnsi="仿宋" w:eastAsia="仿宋" w:cs="仿宋"/>
          <w:sz w:val="28"/>
          <w:szCs w:val="28"/>
        </w:rPr>
        <w:t>万元（大写：</w:t>
      </w:r>
      <w:r>
        <w:rPr>
          <w:rFonts w:hint="eastAsia" w:ascii="仿宋" w:hAnsi="仿宋" w:eastAsia="仿宋" w:cs="仿宋"/>
          <w:sz w:val="28"/>
          <w:szCs w:val="28"/>
          <w:u w:val="single"/>
        </w:rPr>
        <w:t xml:space="preserve">       </w:t>
      </w:r>
      <w:r>
        <w:rPr>
          <w:rFonts w:hint="eastAsia" w:ascii="仿宋" w:hAnsi="仿宋" w:eastAsia="仿宋" w:cs="仿宋"/>
          <w:sz w:val="28"/>
          <w:szCs w:val="28"/>
        </w:rPr>
        <w:t>）。</w:t>
      </w:r>
    </w:p>
    <w:p w14:paraId="3D98DA0A">
      <w:pPr>
        <w:spacing w:line="520" w:lineRule="exact"/>
        <w:ind w:firstLine="537" w:firstLineChars="192"/>
        <w:rPr>
          <w:rFonts w:hint="eastAsia" w:ascii="仿宋" w:hAnsi="仿宋" w:eastAsia="仿宋" w:cs="仿宋"/>
          <w:sz w:val="28"/>
          <w:szCs w:val="28"/>
        </w:rPr>
      </w:pPr>
      <w:r>
        <w:rPr>
          <w:rFonts w:hint="eastAsia" w:ascii="仿宋" w:hAnsi="仿宋" w:eastAsia="仿宋" w:cs="仿宋"/>
          <w:sz w:val="28"/>
          <w:szCs w:val="28"/>
        </w:rPr>
        <w:t>2.一旦我方中标，我方将严格履行合同规定的责任和义务，保证于合同签字生效后</w:t>
      </w:r>
      <w:r>
        <w:rPr>
          <w:rFonts w:hint="eastAsia" w:ascii="仿宋" w:hAnsi="仿宋" w:eastAsia="仿宋" w:cs="仿宋"/>
          <w:sz w:val="28"/>
          <w:szCs w:val="28"/>
          <w:u w:val="single"/>
        </w:rPr>
        <w:t xml:space="preserve">       </w:t>
      </w:r>
      <w:r>
        <w:rPr>
          <w:rFonts w:hint="eastAsia" w:ascii="仿宋" w:hAnsi="仿宋" w:eastAsia="仿宋" w:cs="仿宋"/>
          <w:sz w:val="28"/>
          <w:szCs w:val="28"/>
        </w:rPr>
        <w:t>日内完成项目的安装、调试，并交付采购人验收、使用。</w:t>
      </w:r>
    </w:p>
    <w:p w14:paraId="2BF18508">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3.我方为本项目提交的投标文件正本</w:t>
      </w:r>
      <w:r>
        <w:rPr>
          <w:rFonts w:hint="eastAsia" w:ascii="仿宋" w:hAnsi="仿宋" w:eastAsia="仿宋" w:cs="仿宋"/>
          <w:sz w:val="28"/>
          <w:szCs w:val="28"/>
          <w:u w:val="single"/>
        </w:rPr>
        <w:t xml:space="preserve">  </w:t>
      </w:r>
      <w:r>
        <w:rPr>
          <w:rFonts w:hint="eastAsia" w:ascii="仿宋" w:hAnsi="仿宋" w:eastAsia="仿宋" w:cs="仿宋"/>
          <w:sz w:val="28"/>
          <w:szCs w:val="28"/>
        </w:rPr>
        <w:t>份，副本</w:t>
      </w:r>
      <w:r>
        <w:rPr>
          <w:rFonts w:hint="eastAsia" w:ascii="仿宋" w:hAnsi="仿宋" w:eastAsia="仿宋" w:cs="仿宋"/>
          <w:sz w:val="28"/>
          <w:szCs w:val="28"/>
          <w:u w:val="single"/>
        </w:rPr>
        <w:t xml:space="preserve">  </w:t>
      </w:r>
      <w:r>
        <w:rPr>
          <w:rFonts w:hint="eastAsia" w:ascii="仿宋" w:hAnsi="仿宋" w:eastAsia="仿宋" w:cs="仿宋"/>
          <w:sz w:val="28"/>
          <w:szCs w:val="28"/>
        </w:rPr>
        <w:t>份，用于开标唱标的“开标一览</w:t>
      </w:r>
      <w:r>
        <w:rPr>
          <w:rFonts w:hint="eastAsia" w:ascii="仿宋" w:hAnsi="仿宋" w:eastAsia="仿宋" w:cs="仿宋"/>
          <w:sz w:val="28"/>
          <w:szCs w:val="28"/>
          <w:u w:val="single"/>
        </w:rPr>
        <w:t xml:space="preserve">  </w:t>
      </w:r>
      <w:r>
        <w:rPr>
          <w:rFonts w:hint="eastAsia" w:ascii="仿宋" w:hAnsi="仿宋" w:eastAsia="仿宋" w:cs="仿宋"/>
          <w:sz w:val="28"/>
          <w:szCs w:val="28"/>
        </w:rPr>
        <w:t>份。</w:t>
      </w:r>
    </w:p>
    <w:p w14:paraId="6B893DC0">
      <w:pPr>
        <w:spacing w:line="520" w:lineRule="exact"/>
        <w:ind w:firstLine="537" w:firstLineChars="192"/>
        <w:rPr>
          <w:rFonts w:hint="eastAsia" w:ascii="仿宋" w:hAnsi="仿宋" w:eastAsia="仿宋" w:cs="仿宋"/>
          <w:sz w:val="28"/>
          <w:szCs w:val="28"/>
        </w:rPr>
      </w:pPr>
      <w:r>
        <w:rPr>
          <w:rFonts w:hint="eastAsia" w:ascii="仿宋" w:hAnsi="仿宋" w:eastAsia="仿宋" w:cs="仿宋"/>
          <w:sz w:val="28"/>
          <w:szCs w:val="28"/>
        </w:rPr>
        <w:t>4.我方愿意提供贵单位可能另外要求的，与投标有关的文件资料，并保证我方已提供和将要提供的文件资料是真实、准确的。</w:t>
      </w:r>
    </w:p>
    <w:p w14:paraId="0B12D149">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5.我方完全理解采购人不一定将合同授予最低报价的投标人的行为。</w:t>
      </w:r>
    </w:p>
    <w:p w14:paraId="6BF38B99">
      <w:pPr>
        <w:spacing w:line="520" w:lineRule="exact"/>
        <w:ind w:firstLine="537" w:firstLineChars="192"/>
        <w:rPr>
          <w:rFonts w:hint="eastAsia" w:ascii="仿宋" w:hAnsi="仿宋" w:eastAsia="仿宋" w:cs="仿宋"/>
          <w:sz w:val="28"/>
          <w:szCs w:val="28"/>
        </w:rPr>
      </w:pPr>
    </w:p>
    <w:p w14:paraId="793F619E">
      <w:pPr>
        <w:spacing w:line="520" w:lineRule="exact"/>
        <w:ind w:firstLine="537" w:firstLineChars="192"/>
        <w:rPr>
          <w:rFonts w:hint="eastAsia" w:ascii="仿宋" w:hAnsi="仿宋" w:eastAsia="仿宋" w:cs="仿宋"/>
          <w:sz w:val="28"/>
          <w:szCs w:val="28"/>
        </w:rPr>
      </w:pPr>
    </w:p>
    <w:p w14:paraId="0F90E01D">
      <w:pPr>
        <w:spacing w:line="520" w:lineRule="exact"/>
        <w:ind w:firstLine="537" w:firstLineChars="192"/>
        <w:rPr>
          <w:rFonts w:hint="eastAsia" w:ascii="仿宋" w:hAnsi="仿宋" w:eastAsia="仿宋" w:cs="仿宋"/>
          <w:sz w:val="28"/>
          <w:szCs w:val="28"/>
        </w:rPr>
      </w:pPr>
    </w:p>
    <w:p w14:paraId="483768F7">
      <w:pPr>
        <w:spacing w:line="520" w:lineRule="exact"/>
        <w:rPr>
          <w:rFonts w:hint="eastAsia" w:ascii="仿宋" w:hAnsi="仿宋" w:eastAsia="仿宋" w:cs="仿宋"/>
          <w:sz w:val="28"/>
          <w:szCs w:val="28"/>
        </w:rPr>
      </w:pPr>
    </w:p>
    <w:p w14:paraId="77D0E00B">
      <w:pPr>
        <w:spacing w:line="520" w:lineRule="exact"/>
        <w:rPr>
          <w:rFonts w:hint="eastAsia" w:ascii="仿宋" w:hAnsi="仿宋" w:eastAsia="仿宋" w:cs="仿宋"/>
          <w:sz w:val="28"/>
          <w:szCs w:val="28"/>
        </w:rPr>
      </w:pPr>
    </w:p>
    <w:p w14:paraId="11891FBA">
      <w:pPr>
        <w:spacing w:line="520" w:lineRule="exact"/>
        <w:rPr>
          <w:rFonts w:hint="eastAsia" w:ascii="仿宋" w:hAnsi="仿宋" w:eastAsia="仿宋" w:cs="仿宋"/>
          <w:sz w:val="28"/>
          <w:szCs w:val="28"/>
        </w:rPr>
      </w:pPr>
    </w:p>
    <w:p w14:paraId="10C2AE1D">
      <w:pPr>
        <w:spacing w:line="520" w:lineRule="exact"/>
        <w:ind w:firstLine="537" w:firstLineChars="192"/>
        <w:rPr>
          <w:rFonts w:hint="eastAsia" w:ascii="仿宋" w:hAnsi="仿宋" w:eastAsia="仿宋" w:cs="仿宋"/>
          <w:sz w:val="28"/>
          <w:szCs w:val="28"/>
        </w:rPr>
      </w:pPr>
      <w:r>
        <w:rPr>
          <w:rFonts w:hint="eastAsia" w:ascii="仿宋" w:hAnsi="仿宋" w:eastAsia="仿宋" w:cs="仿宋"/>
          <w:sz w:val="28"/>
          <w:szCs w:val="28"/>
        </w:rPr>
        <w:t xml:space="preserve">投标人名称（盖章）：        </w:t>
      </w:r>
    </w:p>
    <w:p w14:paraId="179E54F8">
      <w:pPr>
        <w:spacing w:line="520" w:lineRule="exact"/>
        <w:ind w:firstLine="537" w:firstLineChars="192"/>
        <w:rPr>
          <w:rFonts w:hint="eastAsia" w:ascii="仿宋" w:hAnsi="仿宋" w:eastAsia="仿宋" w:cs="仿宋"/>
          <w:sz w:val="28"/>
          <w:szCs w:val="28"/>
        </w:rPr>
      </w:pPr>
      <w:r>
        <w:rPr>
          <w:rFonts w:hint="eastAsia" w:ascii="仿宋" w:hAnsi="仿宋" w:eastAsia="仿宋" w:cs="仿宋"/>
          <w:sz w:val="28"/>
          <w:szCs w:val="28"/>
        </w:rPr>
        <w:t>法定代表人或授权代表（签字）：</w:t>
      </w:r>
    </w:p>
    <w:p w14:paraId="302E7E0B">
      <w:pPr>
        <w:spacing w:line="520" w:lineRule="exact"/>
        <w:ind w:firstLine="537" w:firstLineChars="192"/>
        <w:rPr>
          <w:rFonts w:hint="eastAsia" w:ascii="仿宋" w:hAnsi="仿宋" w:eastAsia="仿宋" w:cs="仿宋"/>
          <w:sz w:val="28"/>
          <w:szCs w:val="28"/>
        </w:rPr>
      </w:pPr>
      <w:r>
        <w:rPr>
          <w:rFonts w:hint="eastAsia" w:ascii="仿宋" w:hAnsi="仿宋" w:eastAsia="仿宋" w:cs="仿宋"/>
          <w:sz w:val="28"/>
          <w:szCs w:val="28"/>
        </w:rPr>
        <w:t>日    期：</w:t>
      </w:r>
    </w:p>
    <w:p w14:paraId="622D6D8C">
      <w:pPr>
        <w:spacing w:line="520" w:lineRule="exact"/>
        <w:rPr>
          <w:rFonts w:hint="eastAsia" w:ascii="仿宋" w:hAnsi="仿宋" w:eastAsia="仿宋" w:cs="仿宋"/>
          <w:b/>
          <w:sz w:val="28"/>
          <w:szCs w:val="28"/>
        </w:rPr>
      </w:pPr>
      <w:bookmarkStart w:id="232" w:name="_Toc425408087"/>
    </w:p>
    <w:p w14:paraId="666D49E9">
      <w:pPr>
        <w:spacing w:line="520" w:lineRule="exact"/>
        <w:rPr>
          <w:rFonts w:hint="eastAsia" w:ascii="仿宋" w:hAnsi="仿宋" w:eastAsia="仿宋" w:cs="仿宋"/>
          <w:b/>
          <w:sz w:val="28"/>
          <w:szCs w:val="28"/>
        </w:rPr>
      </w:pPr>
      <w:r>
        <w:rPr>
          <w:rFonts w:hint="eastAsia" w:ascii="仿宋" w:hAnsi="仿宋" w:eastAsia="仿宋" w:cs="仿宋"/>
          <w:b/>
          <w:sz w:val="28"/>
          <w:szCs w:val="28"/>
        </w:rPr>
        <w:t>二、法定代表人授权书</w:t>
      </w:r>
      <w:bookmarkEnd w:id="232"/>
    </w:p>
    <w:p w14:paraId="09B966A2">
      <w:pPr>
        <w:spacing w:line="520" w:lineRule="exact"/>
        <w:ind w:firstLine="537" w:firstLineChars="192"/>
        <w:rPr>
          <w:rFonts w:hint="eastAsia" w:ascii="仿宋" w:hAnsi="仿宋" w:eastAsia="仿宋" w:cs="仿宋"/>
          <w:sz w:val="28"/>
          <w:szCs w:val="28"/>
        </w:rPr>
      </w:pPr>
      <w:r>
        <w:rPr>
          <w:rFonts w:hint="eastAsia" w:ascii="仿宋" w:hAnsi="仿宋" w:eastAsia="仿宋" w:cs="仿宋"/>
          <w:sz w:val="28"/>
          <w:szCs w:val="28"/>
        </w:rPr>
        <w:t>__________________（采购人）：</w:t>
      </w:r>
    </w:p>
    <w:p w14:paraId="28A3196A">
      <w:pPr>
        <w:spacing w:line="520" w:lineRule="exact"/>
        <w:ind w:firstLine="537" w:firstLineChars="192"/>
        <w:rPr>
          <w:rFonts w:hint="eastAsia" w:ascii="仿宋" w:hAnsi="仿宋" w:eastAsia="仿宋" w:cs="仿宋"/>
          <w:sz w:val="28"/>
          <w:szCs w:val="28"/>
        </w:rPr>
      </w:pPr>
      <w:r>
        <w:rPr>
          <w:rFonts w:hint="eastAsia" w:ascii="仿宋" w:hAnsi="仿宋" w:eastAsia="仿宋" w:cs="仿宋"/>
          <w:sz w:val="28"/>
          <w:szCs w:val="28"/>
        </w:rPr>
        <w:t>本授权声明：（投标人名称）（法定代表人姓名、职务）授权（被授权人姓名、职务）为我方 “ ” 项目投标活动的合法代表，以我方名义全权处理该项目有关投标、签订合同以及执行合同等一切事宜。</w:t>
      </w:r>
    </w:p>
    <w:p w14:paraId="1412B2B4">
      <w:pPr>
        <w:spacing w:line="520" w:lineRule="exact"/>
        <w:ind w:firstLine="537" w:firstLineChars="192"/>
        <w:rPr>
          <w:rFonts w:hint="eastAsia" w:ascii="仿宋" w:hAnsi="仿宋" w:eastAsia="仿宋" w:cs="仿宋"/>
          <w:sz w:val="28"/>
          <w:szCs w:val="28"/>
        </w:rPr>
      </w:pPr>
      <w:r>
        <w:rPr>
          <w:rFonts w:hint="eastAsia" w:ascii="仿宋" w:hAnsi="仿宋" w:eastAsia="仿宋" w:cs="仿宋"/>
          <w:sz w:val="28"/>
          <w:szCs w:val="28"/>
        </w:rPr>
        <w:t>特此声明。</w:t>
      </w:r>
    </w:p>
    <w:p w14:paraId="3D117379">
      <w:pPr>
        <w:spacing w:line="520" w:lineRule="exact"/>
        <w:ind w:firstLine="537" w:firstLineChars="192"/>
        <w:rPr>
          <w:rFonts w:hint="eastAsia" w:ascii="仿宋" w:hAnsi="仿宋" w:eastAsia="仿宋" w:cs="仿宋"/>
          <w:sz w:val="28"/>
          <w:szCs w:val="28"/>
        </w:rPr>
      </w:pPr>
      <w:r>
        <w:rPr>
          <w:rFonts w:hint="eastAsia" w:ascii="仿宋" w:hAnsi="仿宋" w:eastAsia="仿宋" w:cs="仿宋"/>
          <w:sz w:val="28"/>
          <w:szCs w:val="28"/>
        </w:rPr>
        <w:t>法定代表人签字：</w:t>
      </w:r>
    </w:p>
    <w:p w14:paraId="6187B768">
      <w:pPr>
        <w:spacing w:line="520" w:lineRule="exact"/>
        <w:ind w:firstLine="537" w:firstLineChars="192"/>
        <w:rPr>
          <w:rFonts w:hint="eastAsia" w:ascii="仿宋" w:hAnsi="仿宋" w:eastAsia="仿宋" w:cs="仿宋"/>
          <w:sz w:val="28"/>
          <w:szCs w:val="28"/>
        </w:rPr>
      </w:pPr>
      <w:r>
        <w:rPr>
          <w:rFonts w:hint="eastAsia" w:ascii="仿宋" w:hAnsi="仿宋" w:eastAsia="仿宋" w:cs="仿宋"/>
          <w:sz w:val="28"/>
          <w:szCs w:val="28"/>
        </w:rPr>
        <w:t>授权代表签字：</w:t>
      </w:r>
    </w:p>
    <w:p w14:paraId="2E93F171">
      <w:pPr>
        <w:spacing w:line="520" w:lineRule="exact"/>
        <w:ind w:firstLine="537" w:firstLineChars="192"/>
        <w:rPr>
          <w:rFonts w:hint="eastAsia" w:ascii="仿宋" w:hAnsi="仿宋" w:eastAsia="仿宋" w:cs="仿宋"/>
          <w:sz w:val="28"/>
          <w:szCs w:val="28"/>
        </w:rPr>
      </w:pPr>
      <w:r>
        <w:rPr>
          <w:rFonts w:hint="eastAsia" w:ascii="仿宋" w:hAnsi="仿宋" w:eastAsia="仿宋" w:cs="仿宋"/>
          <w:sz w:val="28"/>
          <w:szCs w:val="28"/>
        </w:rPr>
        <w:t xml:space="preserve">投标人名称（盖章）：         </w:t>
      </w:r>
    </w:p>
    <w:p w14:paraId="2AD942DD">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日    期：</w:t>
      </w:r>
    </w:p>
    <w:p w14:paraId="23376334">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附：法定代表人及被授权人身份证身印件　　</w:t>
      </w:r>
    </w:p>
    <w:p w14:paraId="6F63E294">
      <w:pPr>
        <w:spacing w:line="520" w:lineRule="exact"/>
        <w:ind w:firstLine="537" w:firstLineChars="192"/>
        <w:rPr>
          <w:rFonts w:hint="eastAsia" w:ascii="仿宋" w:hAnsi="仿宋" w:eastAsia="仿宋" w:cs="仿宋"/>
          <w:sz w:val="28"/>
          <w:szCs w:val="28"/>
        </w:rPr>
      </w:pPr>
    </w:p>
    <w:p w14:paraId="76D7CAC3">
      <w:pPr>
        <w:pStyle w:val="23"/>
        <w:spacing w:line="520" w:lineRule="exact"/>
        <w:rPr>
          <w:rFonts w:hint="eastAsia" w:ascii="仿宋" w:hAnsi="仿宋" w:eastAsia="仿宋" w:cs="仿宋"/>
          <w:b/>
          <w:bCs/>
          <w:sz w:val="28"/>
          <w:szCs w:val="28"/>
        </w:rPr>
      </w:pPr>
      <w:r>
        <w:rPr>
          <w:rFonts w:hint="eastAsia" w:ascii="仿宋" w:hAnsi="仿宋" w:eastAsia="仿宋" w:cs="仿宋"/>
          <w:b/>
          <w:bCs/>
          <w:sz w:val="28"/>
          <w:szCs w:val="28"/>
        </w:rPr>
        <w:t>（若法定代表人亲自参加投标活动，需提供法定代表人身份证明，格式如下）</w:t>
      </w:r>
    </w:p>
    <w:p w14:paraId="4F8A8B28">
      <w:pPr>
        <w:pStyle w:val="38"/>
        <w:spacing w:line="520" w:lineRule="exact"/>
        <w:jc w:val="center"/>
        <w:rPr>
          <w:rFonts w:hint="eastAsia" w:ascii="仿宋" w:hAnsi="仿宋" w:eastAsia="仿宋" w:cs="仿宋"/>
          <w:sz w:val="28"/>
          <w:szCs w:val="28"/>
        </w:rPr>
      </w:pPr>
      <w:r>
        <w:rPr>
          <w:rStyle w:val="45"/>
          <w:rFonts w:hint="eastAsia" w:ascii="仿宋" w:hAnsi="仿宋" w:eastAsia="仿宋" w:cs="仿宋"/>
          <w:sz w:val="28"/>
          <w:szCs w:val="28"/>
        </w:rPr>
        <w:t>法定代表人身份证明书</w:t>
      </w:r>
    </w:p>
    <w:p w14:paraId="1109622A">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 xml:space="preserve">  ×××（姓名、性别、年龄）在我公司（或者企业、单位）任×××（董事长、总经理等）职务，是我公司（或者企业、单位）的法定代表人。　　</w:t>
      </w:r>
    </w:p>
    <w:p w14:paraId="30079690">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特此证明。　　</w:t>
      </w:r>
    </w:p>
    <w:p w14:paraId="49D845A7">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×××公司（单位全称加盖公章） 　　</w:t>
      </w:r>
    </w:p>
    <w:p w14:paraId="08F50165">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×年×月×日 　　</w:t>
      </w:r>
    </w:p>
    <w:p w14:paraId="3A433E7B">
      <w:pPr>
        <w:spacing w:line="520" w:lineRule="exact"/>
        <w:ind w:firstLine="560" w:firstLineChars="200"/>
        <w:rPr>
          <w:rFonts w:hint="eastAsia" w:ascii="仿宋" w:hAnsi="仿宋" w:eastAsia="仿宋" w:cs="仿宋"/>
          <w:sz w:val="28"/>
          <w:szCs w:val="28"/>
        </w:rPr>
      </w:pPr>
    </w:p>
    <w:p w14:paraId="40C0D6C4">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法定代表人住址： 　　</w:t>
      </w:r>
    </w:p>
    <w:p w14:paraId="40FBEE20">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电话： </w:t>
      </w:r>
    </w:p>
    <w:p w14:paraId="1BEB220F">
      <w:pPr>
        <w:spacing w:line="520" w:lineRule="exact"/>
        <w:rPr>
          <w:rFonts w:hint="eastAsia" w:ascii="仿宋" w:hAnsi="仿宋" w:eastAsia="仿宋" w:cs="仿宋"/>
          <w:sz w:val="28"/>
          <w:szCs w:val="28"/>
        </w:rPr>
      </w:pPr>
      <w:r>
        <w:rPr>
          <w:rFonts w:hint="eastAsia" w:ascii="仿宋" w:hAnsi="仿宋" w:eastAsia="仿宋" w:cs="仿宋"/>
          <w:sz w:val="28"/>
          <w:szCs w:val="28"/>
        </w:rPr>
        <w:t>附：法定代表人身份证身印件　　</w:t>
      </w:r>
    </w:p>
    <w:p w14:paraId="53A118F7">
      <w:pPr>
        <w:spacing w:line="500" w:lineRule="exact"/>
        <w:ind w:firstLine="463" w:firstLineChars="192"/>
        <w:rPr>
          <w:rFonts w:hint="eastAsia" w:asciiTheme="minorEastAsia" w:hAnsiTheme="minorEastAsia" w:eastAsiaTheme="minorEastAsia"/>
          <w:b/>
          <w:szCs w:val="28"/>
        </w:rPr>
        <w:sectPr>
          <w:headerReference r:id="rId3" w:type="default"/>
          <w:footerReference r:id="rId4" w:type="default"/>
          <w:pgSz w:w="11907" w:h="16840"/>
          <w:pgMar w:top="1440" w:right="1466" w:bottom="1440" w:left="1440" w:header="851" w:footer="992" w:gutter="0"/>
          <w:pgNumType w:fmt="decimal"/>
          <w:cols w:space="425" w:num="1"/>
          <w:docGrid w:linePitch="312" w:charSpace="0"/>
        </w:sectPr>
      </w:pPr>
    </w:p>
    <w:p w14:paraId="0DB15EB0">
      <w:pPr>
        <w:autoSpaceDE w:val="0"/>
        <w:autoSpaceDN w:val="0"/>
        <w:adjustRightInd w:val="0"/>
        <w:snapToGrid w:val="0"/>
        <w:spacing w:line="360" w:lineRule="auto"/>
        <w:jc w:val="left"/>
        <w:outlineLvl w:val="1"/>
        <w:rPr>
          <w:rFonts w:hint="eastAsia" w:ascii="仿宋" w:hAnsi="仿宋" w:eastAsia="仿宋" w:cs="仿宋"/>
          <w:b/>
          <w:w w:val="99"/>
          <w:kern w:val="0"/>
          <w:sz w:val="28"/>
          <w:szCs w:val="28"/>
          <w:lang w:val="zh-CN"/>
        </w:rPr>
      </w:pPr>
      <w:r>
        <w:rPr>
          <w:rFonts w:hint="eastAsia" w:ascii="仿宋" w:hAnsi="仿宋" w:eastAsia="仿宋" w:cs="仿宋"/>
          <w:b/>
          <w:w w:val="99"/>
          <w:kern w:val="0"/>
          <w:sz w:val="28"/>
          <w:szCs w:val="28"/>
          <w:lang w:val="zh-CN"/>
        </w:rPr>
        <w:t>三、投标人基本情况表</w:t>
      </w:r>
    </w:p>
    <w:tbl>
      <w:tblPr>
        <w:tblStyle w:val="42"/>
        <w:tblW w:w="9000" w:type="dxa"/>
        <w:tblInd w:w="108"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692"/>
        <w:gridCol w:w="696"/>
        <w:gridCol w:w="384"/>
        <w:gridCol w:w="900"/>
        <w:gridCol w:w="1177"/>
        <w:gridCol w:w="8"/>
        <w:gridCol w:w="1319"/>
        <w:gridCol w:w="556"/>
        <w:gridCol w:w="617"/>
        <w:gridCol w:w="1651"/>
      </w:tblGrid>
      <w:tr w14:paraId="2338C5F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14:paraId="688A4EC4">
            <w:pPr>
              <w:spacing w:line="500" w:lineRule="exact"/>
              <w:rPr>
                <w:rFonts w:hint="eastAsia" w:ascii="宋体" w:hAnsi="宋体" w:cs="宋体"/>
                <w:kern w:val="0"/>
                <w:sz w:val="21"/>
                <w:szCs w:val="21"/>
              </w:rPr>
            </w:pPr>
            <w:r>
              <w:rPr>
                <w:rFonts w:hint="eastAsia" w:ascii="宋体" w:hAnsi="宋体" w:cs="宋体"/>
                <w:kern w:val="0"/>
                <w:sz w:val="21"/>
                <w:szCs w:val="21"/>
              </w:rPr>
              <w:t>投标人名称</w:t>
            </w:r>
          </w:p>
        </w:tc>
        <w:tc>
          <w:tcPr>
            <w:tcW w:w="7308" w:type="dxa"/>
            <w:gridSpan w:val="9"/>
            <w:vAlign w:val="center"/>
          </w:tcPr>
          <w:p w14:paraId="1CFCA453">
            <w:pPr>
              <w:spacing w:line="500" w:lineRule="exact"/>
              <w:rPr>
                <w:rFonts w:hint="eastAsia" w:ascii="宋体" w:hAnsi="宋体" w:cs="宋体"/>
                <w:kern w:val="0"/>
                <w:sz w:val="21"/>
                <w:szCs w:val="21"/>
              </w:rPr>
            </w:pPr>
          </w:p>
        </w:tc>
      </w:tr>
      <w:tr w14:paraId="54721C2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14:paraId="540E7475">
            <w:pPr>
              <w:spacing w:line="500" w:lineRule="exact"/>
              <w:rPr>
                <w:rFonts w:hint="eastAsia" w:ascii="宋体" w:hAnsi="宋体" w:cs="宋体"/>
                <w:kern w:val="0"/>
                <w:sz w:val="21"/>
                <w:szCs w:val="21"/>
              </w:rPr>
            </w:pPr>
            <w:r>
              <w:rPr>
                <w:rFonts w:hint="eastAsia" w:ascii="宋体" w:hAnsi="宋体" w:cs="宋体"/>
                <w:kern w:val="0"/>
                <w:sz w:val="21"/>
                <w:szCs w:val="21"/>
              </w:rPr>
              <w:t>注册地址</w:t>
            </w:r>
          </w:p>
        </w:tc>
        <w:tc>
          <w:tcPr>
            <w:tcW w:w="3165" w:type="dxa"/>
            <w:gridSpan w:val="5"/>
            <w:vAlign w:val="center"/>
          </w:tcPr>
          <w:p w14:paraId="49969866">
            <w:pPr>
              <w:spacing w:line="500" w:lineRule="exact"/>
              <w:rPr>
                <w:rFonts w:hint="eastAsia" w:ascii="宋体" w:hAnsi="宋体" w:cs="宋体"/>
                <w:kern w:val="0"/>
                <w:sz w:val="21"/>
                <w:szCs w:val="21"/>
              </w:rPr>
            </w:pPr>
          </w:p>
        </w:tc>
        <w:tc>
          <w:tcPr>
            <w:tcW w:w="1319" w:type="dxa"/>
            <w:vAlign w:val="center"/>
          </w:tcPr>
          <w:p w14:paraId="31617079">
            <w:pPr>
              <w:spacing w:line="500" w:lineRule="exact"/>
              <w:rPr>
                <w:rFonts w:hint="eastAsia" w:ascii="宋体" w:hAnsi="宋体" w:cs="宋体"/>
                <w:kern w:val="0"/>
                <w:sz w:val="21"/>
                <w:szCs w:val="21"/>
              </w:rPr>
            </w:pPr>
            <w:r>
              <w:rPr>
                <w:rFonts w:hint="eastAsia" w:ascii="宋体" w:hAnsi="宋体" w:cs="宋体"/>
                <w:kern w:val="0"/>
                <w:sz w:val="21"/>
                <w:szCs w:val="21"/>
              </w:rPr>
              <w:t>邮政编码</w:t>
            </w:r>
          </w:p>
        </w:tc>
        <w:tc>
          <w:tcPr>
            <w:tcW w:w="2824" w:type="dxa"/>
            <w:gridSpan w:val="3"/>
            <w:vAlign w:val="center"/>
          </w:tcPr>
          <w:p w14:paraId="0224AF9F">
            <w:pPr>
              <w:spacing w:line="500" w:lineRule="exact"/>
              <w:rPr>
                <w:rFonts w:hint="eastAsia" w:ascii="宋体" w:hAnsi="宋体" w:cs="宋体"/>
                <w:kern w:val="0"/>
                <w:sz w:val="21"/>
                <w:szCs w:val="21"/>
              </w:rPr>
            </w:pPr>
          </w:p>
        </w:tc>
      </w:tr>
      <w:tr w14:paraId="50F7F28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Merge w:val="restart"/>
            <w:vAlign w:val="center"/>
          </w:tcPr>
          <w:p w14:paraId="38B02479">
            <w:pPr>
              <w:spacing w:line="500" w:lineRule="exact"/>
              <w:rPr>
                <w:rFonts w:hint="eastAsia" w:ascii="宋体" w:hAnsi="宋体" w:cs="宋体"/>
                <w:kern w:val="0"/>
                <w:sz w:val="21"/>
                <w:szCs w:val="21"/>
              </w:rPr>
            </w:pPr>
            <w:r>
              <w:rPr>
                <w:rFonts w:hint="eastAsia" w:ascii="宋体" w:hAnsi="宋体" w:cs="宋体"/>
                <w:kern w:val="0"/>
                <w:sz w:val="21"/>
                <w:szCs w:val="21"/>
              </w:rPr>
              <w:t>联系方式</w:t>
            </w:r>
          </w:p>
        </w:tc>
        <w:tc>
          <w:tcPr>
            <w:tcW w:w="1080" w:type="dxa"/>
            <w:gridSpan w:val="2"/>
            <w:vAlign w:val="center"/>
          </w:tcPr>
          <w:p w14:paraId="587407ED">
            <w:pPr>
              <w:spacing w:line="500" w:lineRule="exact"/>
              <w:rPr>
                <w:rFonts w:hint="eastAsia" w:ascii="宋体" w:hAnsi="宋体" w:cs="宋体"/>
                <w:kern w:val="0"/>
                <w:sz w:val="21"/>
                <w:szCs w:val="21"/>
              </w:rPr>
            </w:pPr>
            <w:r>
              <w:rPr>
                <w:rFonts w:hint="eastAsia" w:ascii="宋体" w:hAnsi="宋体" w:cs="宋体"/>
                <w:kern w:val="0"/>
                <w:sz w:val="21"/>
                <w:szCs w:val="21"/>
              </w:rPr>
              <w:t>联系人</w:t>
            </w:r>
          </w:p>
        </w:tc>
        <w:tc>
          <w:tcPr>
            <w:tcW w:w="2077" w:type="dxa"/>
            <w:gridSpan w:val="2"/>
            <w:vAlign w:val="center"/>
          </w:tcPr>
          <w:p w14:paraId="7661045C">
            <w:pPr>
              <w:spacing w:line="500" w:lineRule="exact"/>
              <w:rPr>
                <w:rFonts w:hint="eastAsia" w:ascii="宋体" w:hAnsi="宋体" w:cs="宋体"/>
                <w:kern w:val="0"/>
                <w:sz w:val="21"/>
                <w:szCs w:val="21"/>
              </w:rPr>
            </w:pPr>
          </w:p>
        </w:tc>
        <w:tc>
          <w:tcPr>
            <w:tcW w:w="1327" w:type="dxa"/>
            <w:gridSpan w:val="2"/>
            <w:vAlign w:val="center"/>
          </w:tcPr>
          <w:p w14:paraId="02F12188">
            <w:pPr>
              <w:spacing w:line="500" w:lineRule="exact"/>
              <w:rPr>
                <w:rFonts w:hint="eastAsia" w:ascii="宋体" w:hAnsi="宋体" w:cs="宋体"/>
                <w:kern w:val="0"/>
                <w:sz w:val="21"/>
                <w:szCs w:val="21"/>
              </w:rPr>
            </w:pPr>
            <w:r>
              <w:rPr>
                <w:rFonts w:hint="eastAsia" w:ascii="宋体" w:hAnsi="宋体" w:cs="宋体"/>
                <w:kern w:val="0"/>
                <w:sz w:val="21"/>
                <w:szCs w:val="21"/>
              </w:rPr>
              <w:t>电话</w:t>
            </w:r>
          </w:p>
        </w:tc>
        <w:tc>
          <w:tcPr>
            <w:tcW w:w="2824" w:type="dxa"/>
            <w:gridSpan w:val="3"/>
            <w:vAlign w:val="center"/>
          </w:tcPr>
          <w:p w14:paraId="77A0054A">
            <w:pPr>
              <w:spacing w:line="500" w:lineRule="exact"/>
              <w:rPr>
                <w:rFonts w:hint="eastAsia" w:ascii="宋体" w:hAnsi="宋体" w:cs="宋体"/>
                <w:kern w:val="0"/>
                <w:sz w:val="21"/>
                <w:szCs w:val="21"/>
              </w:rPr>
            </w:pPr>
          </w:p>
        </w:tc>
      </w:tr>
      <w:tr w14:paraId="0B55670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48" w:hRule="atLeast"/>
        </w:trPr>
        <w:tc>
          <w:tcPr>
            <w:tcW w:w="1692" w:type="dxa"/>
            <w:vMerge w:val="continue"/>
            <w:vAlign w:val="center"/>
          </w:tcPr>
          <w:p w14:paraId="531F0AC4">
            <w:pPr>
              <w:spacing w:line="500" w:lineRule="exact"/>
              <w:rPr>
                <w:rFonts w:hint="eastAsia" w:ascii="宋体" w:hAnsi="宋体" w:cs="宋体"/>
                <w:kern w:val="0"/>
                <w:sz w:val="21"/>
                <w:szCs w:val="21"/>
              </w:rPr>
            </w:pPr>
          </w:p>
        </w:tc>
        <w:tc>
          <w:tcPr>
            <w:tcW w:w="1080" w:type="dxa"/>
            <w:gridSpan w:val="2"/>
            <w:vAlign w:val="center"/>
          </w:tcPr>
          <w:p w14:paraId="68ECDB1D">
            <w:pPr>
              <w:spacing w:line="500" w:lineRule="exact"/>
              <w:rPr>
                <w:rFonts w:hint="eastAsia" w:ascii="宋体" w:hAnsi="宋体" w:cs="宋体"/>
                <w:kern w:val="0"/>
                <w:sz w:val="21"/>
                <w:szCs w:val="21"/>
              </w:rPr>
            </w:pPr>
            <w:r>
              <w:rPr>
                <w:rFonts w:hint="eastAsia" w:ascii="宋体" w:hAnsi="宋体" w:cs="宋体"/>
                <w:kern w:val="0"/>
                <w:sz w:val="21"/>
                <w:szCs w:val="21"/>
              </w:rPr>
              <w:t>传真</w:t>
            </w:r>
          </w:p>
        </w:tc>
        <w:tc>
          <w:tcPr>
            <w:tcW w:w="2077" w:type="dxa"/>
            <w:gridSpan w:val="2"/>
            <w:vAlign w:val="center"/>
          </w:tcPr>
          <w:p w14:paraId="619EE689">
            <w:pPr>
              <w:spacing w:line="500" w:lineRule="exact"/>
              <w:rPr>
                <w:rFonts w:hint="eastAsia" w:ascii="宋体" w:hAnsi="宋体" w:cs="宋体"/>
                <w:kern w:val="0"/>
                <w:sz w:val="21"/>
                <w:szCs w:val="21"/>
              </w:rPr>
            </w:pPr>
          </w:p>
        </w:tc>
        <w:tc>
          <w:tcPr>
            <w:tcW w:w="1327" w:type="dxa"/>
            <w:gridSpan w:val="2"/>
            <w:vAlign w:val="center"/>
          </w:tcPr>
          <w:p w14:paraId="27FF1167">
            <w:pPr>
              <w:spacing w:line="500" w:lineRule="exact"/>
              <w:rPr>
                <w:rFonts w:hint="eastAsia" w:ascii="宋体" w:hAnsi="宋体" w:cs="宋体"/>
                <w:kern w:val="0"/>
                <w:sz w:val="21"/>
                <w:szCs w:val="21"/>
              </w:rPr>
            </w:pPr>
            <w:r>
              <w:rPr>
                <w:rFonts w:hint="eastAsia" w:ascii="宋体" w:hAnsi="宋体" w:cs="宋体"/>
                <w:kern w:val="0"/>
                <w:sz w:val="21"/>
                <w:szCs w:val="21"/>
              </w:rPr>
              <w:t>网址</w:t>
            </w:r>
          </w:p>
        </w:tc>
        <w:tc>
          <w:tcPr>
            <w:tcW w:w="2824" w:type="dxa"/>
            <w:gridSpan w:val="3"/>
            <w:vAlign w:val="center"/>
          </w:tcPr>
          <w:p w14:paraId="7F4B6B04">
            <w:pPr>
              <w:spacing w:line="500" w:lineRule="exact"/>
              <w:rPr>
                <w:rFonts w:hint="eastAsia" w:ascii="宋体" w:hAnsi="宋体" w:cs="宋体"/>
                <w:kern w:val="0"/>
                <w:sz w:val="21"/>
                <w:szCs w:val="21"/>
              </w:rPr>
            </w:pPr>
          </w:p>
        </w:tc>
      </w:tr>
      <w:tr w14:paraId="2086373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665F1518">
            <w:pPr>
              <w:spacing w:line="500" w:lineRule="exact"/>
              <w:rPr>
                <w:rFonts w:hint="eastAsia" w:ascii="宋体" w:hAnsi="宋体" w:cs="宋体"/>
                <w:kern w:val="0"/>
                <w:sz w:val="21"/>
                <w:szCs w:val="21"/>
              </w:rPr>
            </w:pPr>
            <w:r>
              <w:rPr>
                <w:rFonts w:hint="eastAsia" w:ascii="宋体" w:hAnsi="宋体" w:cs="宋体"/>
                <w:kern w:val="0"/>
                <w:sz w:val="21"/>
                <w:szCs w:val="21"/>
              </w:rPr>
              <w:t>组织结构</w:t>
            </w:r>
          </w:p>
        </w:tc>
        <w:tc>
          <w:tcPr>
            <w:tcW w:w="7308" w:type="dxa"/>
            <w:gridSpan w:val="9"/>
            <w:vAlign w:val="center"/>
          </w:tcPr>
          <w:p w14:paraId="68B91C79">
            <w:pPr>
              <w:spacing w:line="500" w:lineRule="exact"/>
              <w:rPr>
                <w:rFonts w:hint="eastAsia" w:ascii="宋体" w:hAnsi="宋体" w:cs="宋体"/>
                <w:kern w:val="0"/>
                <w:sz w:val="21"/>
                <w:szCs w:val="21"/>
              </w:rPr>
            </w:pPr>
          </w:p>
        </w:tc>
      </w:tr>
      <w:tr w14:paraId="38AAD61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62" w:hRule="atLeast"/>
        </w:trPr>
        <w:tc>
          <w:tcPr>
            <w:tcW w:w="1692" w:type="dxa"/>
            <w:vAlign w:val="center"/>
          </w:tcPr>
          <w:p w14:paraId="5801B424">
            <w:pPr>
              <w:spacing w:line="500" w:lineRule="exact"/>
              <w:rPr>
                <w:rFonts w:hint="eastAsia" w:ascii="宋体" w:hAnsi="宋体" w:cs="宋体"/>
                <w:kern w:val="0"/>
                <w:sz w:val="21"/>
                <w:szCs w:val="21"/>
              </w:rPr>
            </w:pPr>
            <w:r>
              <w:rPr>
                <w:rFonts w:hint="eastAsia" w:ascii="宋体" w:hAnsi="宋体" w:cs="宋体"/>
                <w:kern w:val="0"/>
                <w:sz w:val="21"/>
                <w:szCs w:val="21"/>
              </w:rPr>
              <w:t>法定代表人</w:t>
            </w:r>
          </w:p>
        </w:tc>
        <w:tc>
          <w:tcPr>
            <w:tcW w:w="696" w:type="dxa"/>
            <w:vAlign w:val="center"/>
          </w:tcPr>
          <w:p w14:paraId="54689D85">
            <w:pPr>
              <w:spacing w:line="500" w:lineRule="exact"/>
              <w:rPr>
                <w:rFonts w:hint="eastAsia" w:ascii="宋体" w:hAnsi="宋体" w:cs="宋体"/>
                <w:kern w:val="0"/>
                <w:sz w:val="21"/>
                <w:szCs w:val="21"/>
              </w:rPr>
            </w:pPr>
            <w:r>
              <w:rPr>
                <w:rFonts w:hint="eastAsia" w:ascii="宋体" w:hAnsi="宋体" w:cs="宋体"/>
                <w:kern w:val="0"/>
                <w:sz w:val="21"/>
                <w:szCs w:val="21"/>
              </w:rPr>
              <w:t>姓名</w:t>
            </w:r>
          </w:p>
        </w:tc>
        <w:tc>
          <w:tcPr>
            <w:tcW w:w="1284" w:type="dxa"/>
            <w:gridSpan w:val="2"/>
            <w:vAlign w:val="center"/>
          </w:tcPr>
          <w:p w14:paraId="4C6FEC5B">
            <w:pPr>
              <w:spacing w:line="500" w:lineRule="exact"/>
              <w:rPr>
                <w:rFonts w:hint="eastAsia" w:ascii="宋体" w:hAnsi="宋体" w:cs="宋体"/>
                <w:kern w:val="0"/>
                <w:sz w:val="21"/>
                <w:szCs w:val="21"/>
              </w:rPr>
            </w:pPr>
          </w:p>
        </w:tc>
        <w:tc>
          <w:tcPr>
            <w:tcW w:w="1177" w:type="dxa"/>
            <w:vAlign w:val="center"/>
          </w:tcPr>
          <w:p w14:paraId="7CCB2E41">
            <w:pPr>
              <w:spacing w:line="500" w:lineRule="exact"/>
              <w:rPr>
                <w:rFonts w:hint="eastAsia" w:ascii="宋体" w:hAnsi="宋体" w:cs="宋体"/>
                <w:kern w:val="0"/>
                <w:sz w:val="21"/>
                <w:szCs w:val="21"/>
              </w:rPr>
            </w:pPr>
            <w:r>
              <w:rPr>
                <w:rFonts w:hint="eastAsia" w:ascii="宋体" w:hAnsi="宋体" w:cs="宋体"/>
                <w:kern w:val="0"/>
                <w:sz w:val="21"/>
                <w:szCs w:val="21"/>
              </w:rPr>
              <w:t>技术职称</w:t>
            </w:r>
          </w:p>
        </w:tc>
        <w:tc>
          <w:tcPr>
            <w:tcW w:w="1327" w:type="dxa"/>
            <w:gridSpan w:val="2"/>
            <w:vAlign w:val="center"/>
          </w:tcPr>
          <w:p w14:paraId="19BA7398">
            <w:pPr>
              <w:spacing w:line="500" w:lineRule="exact"/>
              <w:rPr>
                <w:rFonts w:hint="eastAsia" w:ascii="宋体" w:hAnsi="宋体" w:cs="宋体"/>
                <w:kern w:val="0"/>
                <w:sz w:val="21"/>
                <w:szCs w:val="21"/>
              </w:rPr>
            </w:pPr>
          </w:p>
        </w:tc>
        <w:tc>
          <w:tcPr>
            <w:tcW w:w="1173" w:type="dxa"/>
            <w:gridSpan w:val="2"/>
            <w:vAlign w:val="center"/>
          </w:tcPr>
          <w:p w14:paraId="20F14AFD">
            <w:pPr>
              <w:spacing w:line="500" w:lineRule="exact"/>
              <w:rPr>
                <w:rFonts w:hint="eastAsia" w:ascii="宋体" w:hAnsi="宋体" w:cs="宋体"/>
                <w:kern w:val="0"/>
                <w:sz w:val="21"/>
                <w:szCs w:val="21"/>
              </w:rPr>
            </w:pPr>
            <w:r>
              <w:rPr>
                <w:rFonts w:hint="eastAsia" w:ascii="宋体" w:hAnsi="宋体" w:cs="宋体"/>
                <w:kern w:val="0"/>
                <w:sz w:val="21"/>
                <w:szCs w:val="21"/>
              </w:rPr>
              <w:t>电话</w:t>
            </w:r>
          </w:p>
        </w:tc>
        <w:tc>
          <w:tcPr>
            <w:tcW w:w="1651" w:type="dxa"/>
            <w:vAlign w:val="center"/>
          </w:tcPr>
          <w:p w14:paraId="63D68B4C">
            <w:pPr>
              <w:spacing w:line="500" w:lineRule="exact"/>
              <w:rPr>
                <w:rFonts w:hint="eastAsia" w:ascii="宋体" w:hAnsi="宋体" w:cs="宋体"/>
                <w:b/>
                <w:bCs/>
                <w:kern w:val="0"/>
                <w:sz w:val="21"/>
                <w:szCs w:val="21"/>
              </w:rPr>
            </w:pPr>
          </w:p>
        </w:tc>
      </w:tr>
      <w:tr w14:paraId="22F686F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1692" w:type="dxa"/>
            <w:vAlign w:val="center"/>
          </w:tcPr>
          <w:p w14:paraId="0CE36D39">
            <w:pPr>
              <w:spacing w:line="500" w:lineRule="exact"/>
              <w:rPr>
                <w:rFonts w:hint="eastAsia" w:ascii="宋体" w:hAnsi="宋体" w:cs="宋体"/>
                <w:kern w:val="0"/>
                <w:sz w:val="21"/>
                <w:szCs w:val="21"/>
              </w:rPr>
            </w:pPr>
            <w:r>
              <w:rPr>
                <w:rFonts w:hint="eastAsia" w:ascii="宋体" w:hAnsi="宋体" w:cs="宋体"/>
                <w:kern w:val="0"/>
                <w:sz w:val="21"/>
                <w:szCs w:val="21"/>
              </w:rPr>
              <w:t>技术负责人</w:t>
            </w:r>
          </w:p>
        </w:tc>
        <w:tc>
          <w:tcPr>
            <w:tcW w:w="696" w:type="dxa"/>
            <w:vAlign w:val="center"/>
          </w:tcPr>
          <w:p w14:paraId="0BE1E0C7">
            <w:pPr>
              <w:spacing w:line="500" w:lineRule="exact"/>
              <w:rPr>
                <w:rFonts w:hint="eastAsia" w:ascii="宋体" w:hAnsi="宋体" w:cs="宋体"/>
                <w:kern w:val="0"/>
                <w:sz w:val="21"/>
                <w:szCs w:val="21"/>
              </w:rPr>
            </w:pPr>
            <w:r>
              <w:rPr>
                <w:rFonts w:hint="eastAsia" w:ascii="宋体" w:hAnsi="宋体" w:cs="宋体"/>
                <w:kern w:val="0"/>
                <w:sz w:val="21"/>
                <w:szCs w:val="21"/>
              </w:rPr>
              <w:t>姓名</w:t>
            </w:r>
          </w:p>
        </w:tc>
        <w:tc>
          <w:tcPr>
            <w:tcW w:w="1284" w:type="dxa"/>
            <w:gridSpan w:val="2"/>
            <w:vAlign w:val="center"/>
          </w:tcPr>
          <w:p w14:paraId="7378E731">
            <w:pPr>
              <w:spacing w:line="500" w:lineRule="exact"/>
              <w:rPr>
                <w:rFonts w:hint="eastAsia" w:ascii="宋体" w:hAnsi="宋体" w:cs="宋体"/>
                <w:kern w:val="0"/>
                <w:sz w:val="21"/>
                <w:szCs w:val="21"/>
              </w:rPr>
            </w:pPr>
          </w:p>
        </w:tc>
        <w:tc>
          <w:tcPr>
            <w:tcW w:w="1177" w:type="dxa"/>
            <w:vAlign w:val="center"/>
          </w:tcPr>
          <w:p w14:paraId="004A25C9">
            <w:pPr>
              <w:spacing w:line="500" w:lineRule="exact"/>
              <w:rPr>
                <w:rFonts w:hint="eastAsia" w:ascii="宋体" w:hAnsi="宋体" w:cs="宋体"/>
                <w:kern w:val="0"/>
                <w:sz w:val="21"/>
                <w:szCs w:val="21"/>
              </w:rPr>
            </w:pPr>
            <w:r>
              <w:rPr>
                <w:rFonts w:hint="eastAsia" w:ascii="宋体" w:hAnsi="宋体" w:cs="宋体"/>
                <w:kern w:val="0"/>
                <w:sz w:val="21"/>
                <w:szCs w:val="21"/>
              </w:rPr>
              <w:t>技术职称</w:t>
            </w:r>
          </w:p>
        </w:tc>
        <w:tc>
          <w:tcPr>
            <w:tcW w:w="1327" w:type="dxa"/>
            <w:gridSpan w:val="2"/>
            <w:vAlign w:val="center"/>
          </w:tcPr>
          <w:p w14:paraId="3798418C">
            <w:pPr>
              <w:spacing w:line="500" w:lineRule="exact"/>
              <w:rPr>
                <w:rFonts w:hint="eastAsia" w:ascii="宋体" w:hAnsi="宋体" w:cs="宋体"/>
                <w:kern w:val="0"/>
                <w:sz w:val="21"/>
                <w:szCs w:val="21"/>
              </w:rPr>
            </w:pPr>
          </w:p>
        </w:tc>
        <w:tc>
          <w:tcPr>
            <w:tcW w:w="1173" w:type="dxa"/>
            <w:gridSpan w:val="2"/>
            <w:vAlign w:val="center"/>
          </w:tcPr>
          <w:p w14:paraId="6717742C">
            <w:pPr>
              <w:spacing w:line="500" w:lineRule="exact"/>
              <w:rPr>
                <w:rFonts w:hint="eastAsia" w:ascii="宋体" w:hAnsi="宋体" w:cs="宋体"/>
                <w:kern w:val="0"/>
                <w:sz w:val="21"/>
                <w:szCs w:val="21"/>
              </w:rPr>
            </w:pPr>
            <w:r>
              <w:rPr>
                <w:rFonts w:hint="eastAsia" w:ascii="宋体" w:hAnsi="宋体" w:cs="宋体"/>
                <w:kern w:val="0"/>
                <w:sz w:val="21"/>
                <w:szCs w:val="21"/>
              </w:rPr>
              <w:t>电话</w:t>
            </w:r>
          </w:p>
        </w:tc>
        <w:tc>
          <w:tcPr>
            <w:tcW w:w="1651" w:type="dxa"/>
            <w:vAlign w:val="center"/>
          </w:tcPr>
          <w:p w14:paraId="09D09BD2">
            <w:pPr>
              <w:spacing w:line="500" w:lineRule="exact"/>
              <w:rPr>
                <w:rFonts w:hint="eastAsia" w:ascii="宋体" w:hAnsi="宋体" w:cs="宋体"/>
                <w:b/>
                <w:bCs/>
                <w:kern w:val="0"/>
                <w:sz w:val="21"/>
                <w:szCs w:val="21"/>
              </w:rPr>
            </w:pPr>
          </w:p>
        </w:tc>
      </w:tr>
      <w:tr w14:paraId="29DC85D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66A50DCB">
            <w:pPr>
              <w:spacing w:line="500" w:lineRule="exact"/>
              <w:rPr>
                <w:rFonts w:hint="eastAsia" w:ascii="宋体" w:hAnsi="宋体" w:cs="宋体"/>
                <w:kern w:val="0"/>
                <w:sz w:val="21"/>
                <w:szCs w:val="21"/>
              </w:rPr>
            </w:pPr>
            <w:r>
              <w:rPr>
                <w:rFonts w:hint="eastAsia" w:ascii="宋体" w:hAnsi="宋体" w:cs="宋体"/>
                <w:kern w:val="0"/>
                <w:sz w:val="21"/>
                <w:szCs w:val="21"/>
              </w:rPr>
              <w:t>成立时间</w:t>
            </w:r>
          </w:p>
        </w:tc>
        <w:tc>
          <w:tcPr>
            <w:tcW w:w="1980" w:type="dxa"/>
            <w:gridSpan w:val="3"/>
            <w:vAlign w:val="center"/>
          </w:tcPr>
          <w:p w14:paraId="650F10F1">
            <w:pPr>
              <w:spacing w:line="500" w:lineRule="exact"/>
              <w:rPr>
                <w:rFonts w:hint="eastAsia" w:ascii="宋体" w:hAnsi="宋体" w:cs="宋体"/>
                <w:kern w:val="0"/>
                <w:sz w:val="21"/>
                <w:szCs w:val="21"/>
              </w:rPr>
            </w:pPr>
          </w:p>
        </w:tc>
        <w:tc>
          <w:tcPr>
            <w:tcW w:w="5328" w:type="dxa"/>
            <w:gridSpan w:val="6"/>
            <w:vAlign w:val="center"/>
          </w:tcPr>
          <w:p w14:paraId="0E09D27C">
            <w:pPr>
              <w:spacing w:line="500" w:lineRule="exact"/>
              <w:rPr>
                <w:rFonts w:hint="eastAsia" w:ascii="宋体" w:hAnsi="宋体" w:cs="宋体"/>
                <w:kern w:val="0"/>
                <w:sz w:val="21"/>
                <w:szCs w:val="21"/>
              </w:rPr>
            </w:pPr>
            <w:r>
              <w:rPr>
                <w:rFonts w:hint="eastAsia" w:ascii="宋体" w:hAnsi="宋体" w:cs="宋体"/>
                <w:kern w:val="0"/>
                <w:sz w:val="21"/>
                <w:szCs w:val="21"/>
              </w:rPr>
              <w:t>员工总人数：</w:t>
            </w:r>
          </w:p>
        </w:tc>
      </w:tr>
      <w:tr w14:paraId="20555D3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14:paraId="0C082636">
            <w:pPr>
              <w:spacing w:line="500" w:lineRule="exact"/>
              <w:rPr>
                <w:rFonts w:hint="eastAsia" w:ascii="宋体" w:hAnsi="宋体" w:cs="宋体"/>
                <w:kern w:val="0"/>
                <w:sz w:val="21"/>
                <w:szCs w:val="21"/>
              </w:rPr>
            </w:pPr>
            <w:r>
              <w:rPr>
                <w:rFonts w:hint="eastAsia" w:ascii="宋体" w:hAnsi="宋体" w:cs="宋体"/>
                <w:kern w:val="0"/>
                <w:sz w:val="21"/>
                <w:szCs w:val="21"/>
              </w:rPr>
              <w:t>企业资质等级</w:t>
            </w:r>
          </w:p>
        </w:tc>
        <w:tc>
          <w:tcPr>
            <w:tcW w:w="1980" w:type="dxa"/>
            <w:gridSpan w:val="3"/>
            <w:vAlign w:val="center"/>
          </w:tcPr>
          <w:p w14:paraId="2FAE9E90">
            <w:pPr>
              <w:spacing w:line="500" w:lineRule="exact"/>
              <w:rPr>
                <w:rFonts w:hint="eastAsia" w:ascii="宋体" w:hAnsi="宋体" w:cs="宋体"/>
                <w:kern w:val="0"/>
                <w:sz w:val="21"/>
                <w:szCs w:val="21"/>
              </w:rPr>
            </w:pPr>
          </w:p>
        </w:tc>
        <w:tc>
          <w:tcPr>
            <w:tcW w:w="1177" w:type="dxa"/>
            <w:vMerge w:val="restart"/>
            <w:vAlign w:val="center"/>
          </w:tcPr>
          <w:p w14:paraId="5905D5F3">
            <w:pPr>
              <w:spacing w:line="500" w:lineRule="exact"/>
              <w:rPr>
                <w:rFonts w:hint="eastAsia" w:ascii="宋体" w:hAnsi="宋体" w:cs="宋体"/>
                <w:kern w:val="0"/>
                <w:sz w:val="21"/>
                <w:szCs w:val="21"/>
              </w:rPr>
            </w:pPr>
            <w:r>
              <w:rPr>
                <w:rFonts w:hint="eastAsia" w:ascii="宋体" w:hAnsi="宋体" w:cs="宋体"/>
                <w:kern w:val="0"/>
                <w:sz w:val="21"/>
                <w:szCs w:val="21"/>
              </w:rPr>
              <w:t>其中</w:t>
            </w:r>
          </w:p>
        </w:tc>
        <w:tc>
          <w:tcPr>
            <w:tcW w:w="1883" w:type="dxa"/>
            <w:gridSpan w:val="3"/>
            <w:vAlign w:val="center"/>
          </w:tcPr>
          <w:p w14:paraId="4FEDAABC">
            <w:pPr>
              <w:spacing w:line="500" w:lineRule="exact"/>
              <w:rPr>
                <w:rFonts w:hint="eastAsia" w:ascii="宋体" w:hAnsi="宋体" w:cs="宋体"/>
                <w:kern w:val="0"/>
                <w:sz w:val="21"/>
                <w:szCs w:val="21"/>
              </w:rPr>
            </w:pPr>
            <w:r>
              <w:rPr>
                <w:rFonts w:hint="eastAsia" w:ascii="宋体" w:hAnsi="宋体" w:cs="宋体"/>
                <w:kern w:val="0"/>
                <w:sz w:val="21"/>
                <w:szCs w:val="21"/>
              </w:rPr>
              <w:t>项目经理</w:t>
            </w:r>
          </w:p>
        </w:tc>
        <w:tc>
          <w:tcPr>
            <w:tcW w:w="2268" w:type="dxa"/>
            <w:gridSpan w:val="2"/>
            <w:vAlign w:val="center"/>
          </w:tcPr>
          <w:p w14:paraId="6BBBD7DE">
            <w:pPr>
              <w:spacing w:line="500" w:lineRule="exact"/>
              <w:rPr>
                <w:rFonts w:hint="eastAsia" w:ascii="宋体" w:hAnsi="宋体" w:cs="宋体"/>
                <w:b/>
                <w:bCs/>
                <w:kern w:val="0"/>
                <w:sz w:val="21"/>
                <w:szCs w:val="21"/>
              </w:rPr>
            </w:pPr>
          </w:p>
        </w:tc>
      </w:tr>
      <w:tr w14:paraId="50BF88E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05E66466">
            <w:pPr>
              <w:spacing w:line="500" w:lineRule="exact"/>
              <w:rPr>
                <w:rFonts w:hint="eastAsia" w:ascii="宋体" w:hAnsi="宋体" w:cs="宋体"/>
                <w:kern w:val="0"/>
                <w:sz w:val="21"/>
                <w:szCs w:val="21"/>
              </w:rPr>
            </w:pPr>
            <w:r>
              <w:rPr>
                <w:rFonts w:hint="eastAsia" w:ascii="宋体" w:hAnsi="宋体" w:cs="宋体"/>
                <w:kern w:val="0"/>
                <w:sz w:val="21"/>
                <w:szCs w:val="21"/>
              </w:rPr>
              <w:t>营业执照号</w:t>
            </w:r>
          </w:p>
        </w:tc>
        <w:tc>
          <w:tcPr>
            <w:tcW w:w="1980" w:type="dxa"/>
            <w:gridSpan w:val="3"/>
            <w:vAlign w:val="center"/>
          </w:tcPr>
          <w:p w14:paraId="72A646DD">
            <w:pPr>
              <w:spacing w:line="500" w:lineRule="exact"/>
              <w:rPr>
                <w:rFonts w:hint="eastAsia" w:ascii="宋体" w:hAnsi="宋体" w:cs="宋体"/>
                <w:kern w:val="0"/>
                <w:sz w:val="21"/>
                <w:szCs w:val="21"/>
              </w:rPr>
            </w:pPr>
          </w:p>
        </w:tc>
        <w:tc>
          <w:tcPr>
            <w:tcW w:w="1177" w:type="dxa"/>
            <w:vMerge w:val="continue"/>
            <w:vAlign w:val="center"/>
          </w:tcPr>
          <w:p w14:paraId="6FF973C2">
            <w:pPr>
              <w:spacing w:line="500" w:lineRule="exact"/>
              <w:rPr>
                <w:rFonts w:hint="eastAsia" w:ascii="宋体" w:hAnsi="宋体" w:cs="宋体"/>
                <w:kern w:val="0"/>
                <w:sz w:val="21"/>
                <w:szCs w:val="21"/>
              </w:rPr>
            </w:pPr>
          </w:p>
        </w:tc>
        <w:tc>
          <w:tcPr>
            <w:tcW w:w="1883" w:type="dxa"/>
            <w:gridSpan w:val="3"/>
            <w:vAlign w:val="center"/>
          </w:tcPr>
          <w:p w14:paraId="4FDAD3D5">
            <w:pPr>
              <w:spacing w:line="500" w:lineRule="exact"/>
              <w:rPr>
                <w:rFonts w:hint="eastAsia" w:ascii="宋体" w:hAnsi="宋体" w:cs="宋体"/>
                <w:kern w:val="0"/>
                <w:sz w:val="21"/>
                <w:szCs w:val="21"/>
              </w:rPr>
            </w:pPr>
            <w:r>
              <w:rPr>
                <w:rFonts w:hint="eastAsia" w:ascii="宋体" w:hAnsi="宋体" w:cs="宋体"/>
                <w:kern w:val="0"/>
                <w:sz w:val="21"/>
                <w:szCs w:val="21"/>
              </w:rPr>
              <w:t>高级职称人员</w:t>
            </w:r>
          </w:p>
        </w:tc>
        <w:tc>
          <w:tcPr>
            <w:tcW w:w="2268" w:type="dxa"/>
            <w:gridSpan w:val="2"/>
            <w:vAlign w:val="center"/>
          </w:tcPr>
          <w:p w14:paraId="18FD840C">
            <w:pPr>
              <w:spacing w:line="500" w:lineRule="exact"/>
              <w:rPr>
                <w:rFonts w:hint="eastAsia" w:ascii="宋体" w:hAnsi="宋体" w:cs="宋体"/>
                <w:b/>
                <w:bCs/>
                <w:kern w:val="0"/>
                <w:sz w:val="21"/>
                <w:szCs w:val="21"/>
              </w:rPr>
            </w:pPr>
          </w:p>
        </w:tc>
      </w:tr>
      <w:tr w14:paraId="6C98238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5EF36612">
            <w:pPr>
              <w:spacing w:line="500" w:lineRule="exact"/>
              <w:rPr>
                <w:rFonts w:hint="eastAsia" w:ascii="宋体" w:hAnsi="宋体" w:cs="宋体"/>
                <w:kern w:val="0"/>
                <w:sz w:val="21"/>
                <w:szCs w:val="21"/>
              </w:rPr>
            </w:pPr>
            <w:r>
              <w:rPr>
                <w:rFonts w:hint="eastAsia" w:ascii="宋体" w:hAnsi="宋体" w:cs="宋体"/>
                <w:kern w:val="0"/>
                <w:sz w:val="21"/>
                <w:szCs w:val="21"/>
              </w:rPr>
              <w:t>注册资金</w:t>
            </w:r>
          </w:p>
        </w:tc>
        <w:tc>
          <w:tcPr>
            <w:tcW w:w="1980" w:type="dxa"/>
            <w:gridSpan w:val="3"/>
            <w:vAlign w:val="center"/>
          </w:tcPr>
          <w:p w14:paraId="3A9FB92D">
            <w:pPr>
              <w:spacing w:line="500" w:lineRule="exact"/>
              <w:rPr>
                <w:rFonts w:hint="eastAsia" w:ascii="宋体" w:hAnsi="宋体" w:cs="宋体"/>
                <w:kern w:val="0"/>
                <w:sz w:val="21"/>
                <w:szCs w:val="21"/>
              </w:rPr>
            </w:pPr>
          </w:p>
        </w:tc>
        <w:tc>
          <w:tcPr>
            <w:tcW w:w="1177" w:type="dxa"/>
            <w:vMerge w:val="continue"/>
            <w:vAlign w:val="center"/>
          </w:tcPr>
          <w:p w14:paraId="1C8FB7C2">
            <w:pPr>
              <w:spacing w:line="500" w:lineRule="exact"/>
              <w:rPr>
                <w:rFonts w:hint="eastAsia" w:ascii="宋体" w:hAnsi="宋体" w:cs="宋体"/>
                <w:kern w:val="0"/>
                <w:sz w:val="21"/>
                <w:szCs w:val="21"/>
              </w:rPr>
            </w:pPr>
          </w:p>
        </w:tc>
        <w:tc>
          <w:tcPr>
            <w:tcW w:w="1883" w:type="dxa"/>
            <w:gridSpan w:val="3"/>
            <w:vAlign w:val="center"/>
          </w:tcPr>
          <w:p w14:paraId="50896119">
            <w:pPr>
              <w:spacing w:line="500" w:lineRule="exact"/>
              <w:rPr>
                <w:rFonts w:hint="eastAsia" w:ascii="宋体" w:hAnsi="宋体" w:cs="宋体"/>
                <w:kern w:val="0"/>
                <w:sz w:val="21"/>
                <w:szCs w:val="21"/>
              </w:rPr>
            </w:pPr>
            <w:r>
              <w:rPr>
                <w:rFonts w:hint="eastAsia" w:ascii="宋体" w:hAnsi="宋体" w:cs="宋体"/>
                <w:kern w:val="0"/>
                <w:sz w:val="21"/>
                <w:szCs w:val="21"/>
              </w:rPr>
              <w:t>中级职称人员</w:t>
            </w:r>
          </w:p>
        </w:tc>
        <w:tc>
          <w:tcPr>
            <w:tcW w:w="2268" w:type="dxa"/>
            <w:gridSpan w:val="2"/>
            <w:vAlign w:val="center"/>
          </w:tcPr>
          <w:p w14:paraId="415ECAD5">
            <w:pPr>
              <w:spacing w:line="500" w:lineRule="exact"/>
              <w:rPr>
                <w:rFonts w:hint="eastAsia" w:ascii="宋体" w:hAnsi="宋体" w:cs="宋体"/>
                <w:b/>
                <w:bCs/>
                <w:kern w:val="0"/>
                <w:sz w:val="21"/>
                <w:szCs w:val="21"/>
              </w:rPr>
            </w:pPr>
          </w:p>
        </w:tc>
      </w:tr>
      <w:tr w14:paraId="5E4C6CA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14:paraId="2398875B">
            <w:pPr>
              <w:spacing w:line="500" w:lineRule="exact"/>
              <w:rPr>
                <w:rFonts w:hint="eastAsia" w:ascii="宋体" w:hAnsi="宋体" w:cs="宋体"/>
                <w:kern w:val="0"/>
                <w:sz w:val="21"/>
                <w:szCs w:val="21"/>
              </w:rPr>
            </w:pPr>
            <w:r>
              <w:rPr>
                <w:rFonts w:hint="eastAsia" w:ascii="宋体" w:hAnsi="宋体" w:cs="宋体"/>
                <w:kern w:val="0"/>
                <w:sz w:val="21"/>
                <w:szCs w:val="21"/>
              </w:rPr>
              <w:t>开户银行</w:t>
            </w:r>
          </w:p>
        </w:tc>
        <w:tc>
          <w:tcPr>
            <w:tcW w:w="1980" w:type="dxa"/>
            <w:gridSpan w:val="3"/>
            <w:vAlign w:val="center"/>
          </w:tcPr>
          <w:p w14:paraId="2D8D6B47">
            <w:pPr>
              <w:spacing w:line="500" w:lineRule="exact"/>
              <w:rPr>
                <w:rFonts w:hint="eastAsia" w:ascii="宋体" w:hAnsi="宋体" w:cs="宋体"/>
                <w:kern w:val="0"/>
                <w:sz w:val="21"/>
                <w:szCs w:val="21"/>
              </w:rPr>
            </w:pPr>
          </w:p>
        </w:tc>
        <w:tc>
          <w:tcPr>
            <w:tcW w:w="1177" w:type="dxa"/>
            <w:vMerge w:val="continue"/>
            <w:vAlign w:val="center"/>
          </w:tcPr>
          <w:p w14:paraId="255945A2">
            <w:pPr>
              <w:spacing w:line="500" w:lineRule="exact"/>
              <w:rPr>
                <w:rFonts w:hint="eastAsia" w:ascii="宋体" w:hAnsi="宋体" w:cs="宋体"/>
                <w:kern w:val="0"/>
                <w:sz w:val="21"/>
                <w:szCs w:val="21"/>
              </w:rPr>
            </w:pPr>
          </w:p>
        </w:tc>
        <w:tc>
          <w:tcPr>
            <w:tcW w:w="1883" w:type="dxa"/>
            <w:gridSpan w:val="3"/>
            <w:vAlign w:val="center"/>
          </w:tcPr>
          <w:p w14:paraId="6CD10C39">
            <w:pPr>
              <w:spacing w:line="500" w:lineRule="exact"/>
              <w:rPr>
                <w:rFonts w:hint="eastAsia" w:ascii="宋体" w:hAnsi="宋体" w:cs="宋体"/>
                <w:kern w:val="0"/>
                <w:sz w:val="21"/>
                <w:szCs w:val="21"/>
              </w:rPr>
            </w:pPr>
            <w:r>
              <w:rPr>
                <w:rFonts w:hint="eastAsia" w:ascii="宋体" w:hAnsi="宋体" w:cs="宋体"/>
                <w:kern w:val="0"/>
                <w:sz w:val="21"/>
                <w:szCs w:val="21"/>
              </w:rPr>
              <w:t>初级职称人员</w:t>
            </w:r>
          </w:p>
        </w:tc>
        <w:tc>
          <w:tcPr>
            <w:tcW w:w="2268" w:type="dxa"/>
            <w:gridSpan w:val="2"/>
            <w:vAlign w:val="center"/>
          </w:tcPr>
          <w:p w14:paraId="2ACEE5A3">
            <w:pPr>
              <w:spacing w:line="500" w:lineRule="exact"/>
              <w:rPr>
                <w:rFonts w:hint="eastAsia" w:ascii="宋体" w:hAnsi="宋体" w:cs="宋体"/>
                <w:b/>
                <w:bCs/>
                <w:kern w:val="0"/>
                <w:sz w:val="21"/>
                <w:szCs w:val="21"/>
              </w:rPr>
            </w:pPr>
          </w:p>
        </w:tc>
      </w:tr>
      <w:tr w14:paraId="75CA0A2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34F1966B">
            <w:pPr>
              <w:spacing w:line="500" w:lineRule="exact"/>
              <w:rPr>
                <w:rFonts w:hint="eastAsia" w:ascii="宋体" w:hAnsi="宋体" w:cs="宋体"/>
                <w:kern w:val="0"/>
                <w:sz w:val="21"/>
                <w:szCs w:val="21"/>
              </w:rPr>
            </w:pPr>
            <w:r>
              <w:rPr>
                <w:rFonts w:hint="eastAsia" w:ascii="宋体" w:hAnsi="宋体" w:cs="宋体"/>
                <w:kern w:val="0"/>
                <w:sz w:val="21"/>
                <w:szCs w:val="21"/>
              </w:rPr>
              <w:t>账号</w:t>
            </w:r>
          </w:p>
        </w:tc>
        <w:tc>
          <w:tcPr>
            <w:tcW w:w="1980" w:type="dxa"/>
            <w:gridSpan w:val="3"/>
            <w:vAlign w:val="center"/>
          </w:tcPr>
          <w:p w14:paraId="3324467C">
            <w:pPr>
              <w:spacing w:line="500" w:lineRule="exact"/>
              <w:rPr>
                <w:rFonts w:hint="eastAsia" w:ascii="宋体" w:hAnsi="宋体" w:cs="宋体"/>
                <w:kern w:val="0"/>
                <w:sz w:val="21"/>
                <w:szCs w:val="21"/>
              </w:rPr>
            </w:pPr>
          </w:p>
        </w:tc>
        <w:tc>
          <w:tcPr>
            <w:tcW w:w="1177" w:type="dxa"/>
            <w:vMerge w:val="continue"/>
            <w:vAlign w:val="center"/>
          </w:tcPr>
          <w:p w14:paraId="11B0E50E">
            <w:pPr>
              <w:spacing w:line="500" w:lineRule="exact"/>
              <w:rPr>
                <w:rFonts w:hint="eastAsia" w:ascii="宋体" w:hAnsi="宋体" w:cs="宋体"/>
                <w:kern w:val="0"/>
                <w:sz w:val="21"/>
                <w:szCs w:val="21"/>
              </w:rPr>
            </w:pPr>
          </w:p>
        </w:tc>
        <w:tc>
          <w:tcPr>
            <w:tcW w:w="1883" w:type="dxa"/>
            <w:gridSpan w:val="3"/>
            <w:vAlign w:val="center"/>
          </w:tcPr>
          <w:p w14:paraId="4A50140A">
            <w:pPr>
              <w:spacing w:line="500" w:lineRule="exact"/>
              <w:rPr>
                <w:rFonts w:hint="eastAsia" w:ascii="宋体" w:hAnsi="宋体" w:cs="宋体"/>
                <w:kern w:val="0"/>
                <w:sz w:val="21"/>
                <w:szCs w:val="21"/>
              </w:rPr>
            </w:pPr>
            <w:r>
              <w:rPr>
                <w:rFonts w:hint="eastAsia" w:ascii="宋体" w:hAnsi="宋体" w:cs="宋体"/>
                <w:kern w:val="0"/>
                <w:sz w:val="21"/>
                <w:szCs w:val="21"/>
              </w:rPr>
              <w:t>技工</w:t>
            </w:r>
          </w:p>
        </w:tc>
        <w:tc>
          <w:tcPr>
            <w:tcW w:w="2268" w:type="dxa"/>
            <w:gridSpan w:val="2"/>
            <w:vAlign w:val="center"/>
          </w:tcPr>
          <w:p w14:paraId="7D1DA82F">
            <w:pPr>
              <w:spacing w:line="500" w:lineRule="exact"/>
              <w:rPr>
                <w:rFonts w:hint="eastAsia" w:ascii="宋体" w:hAnsi="宋体" w:cs="宋体"/>
                <w:b/>
                <w:bCs/>
                <w:kern w:val="0"/>
                <w:sz w:val="21"/>
                <w:szCs w:val="21"/>
              </w:rPr>
            </w:pPr>
          </w:p>
        </w:tc>
      </w:tr>
      <w:tr w14:paraId="159F250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2442" w:hRule="atLeast"/>
        </w:trPr>
        <w:tc>
          <w:tcPr>
            <w:tcW w:w="1692" w:type="dxa"/>
            <w:vAlign w:val="center"/>
          </w:tcPr>
          <w:p w14:paraId="62F3AC51">
            <w:pPr>
              <w:spacing w:line="500" w:lineRule="exact"/>
              <w:rPr>
                <w:rFonts w:hint="eastAsia" w:ascii="宋体" w:hAnsi="宋体" w:cs="宋体"/>
                <w:kern w:val="0"/>
                <w:sz w:val="21"/>
                <w:szCs w:val="21"/>
              </w:rPr>
            </w:pPr>
            <w:r>
              <w:rPr>
                <w:rFonts w:hint="eastAsia" w:ascii="宋体" w:hAnsi="宋体" w:cs="宋体"/>
                <w:kern w:val="0"/>
                <w:sz w:val="21"/>
                <w:szCs w:val="21"/>
              </w:rPr>
              <w:t>经营范围</w:t>
            </w:r>
          </w:p>
        </w:tc>
        <w:tc>
          <w:tcPr>
            <w:tcW w:w="7308" w:type="dxa"/>
            <w:gridSpan w:val="9"/>
            <w:vAlign w:val="center"/>
          </w:tcPr>
          <w:p w14:paraId="392683E8">
            <w:pPr>
              <w:spacing w:line="500" w:lineRule="exact"/>
              <w:rPr>
                <w:rFonts w:hint="eastAsia" w:ascii="宋体" w:hAnsi="宋体" w:cs="宋体"/>
                <w:b/>
                <w:bCs/>
                <w:kern w:val="0"/>
                <w:sz w:val="21"/>
                <w:szCs w:val="21"/>
              </w:rPr>
            </w:pPr>
          </w:p>
        </w:tc>
      </w:tr>
      <w:tr w14:paraId="1B3F219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trPr>
        <w:tc>
          <w:tcPr>
            <w:tcW w:w="1692" w:type="dxa"/>
            <w:vAlign w:val="center"/>
          </w:tcPr>
          <w:p w14:paraId="155BB3BE">
            <w:pPr>
              <w:spacing w:line="500" w:lineRule="exact"/>
              <w:rPr>
                <w:rFonts w:hint="eastAsia" w:ascii="宋体" w:hAnsi="宋体" w:cs="宋体"/>
                <w:kern w:val="0"/>
                <w:sz w:val="21"/>
                <w:szCs w:val="21"/>
              </w:rPr>
            </w:pPr>
            <w:r>
              <w:rPr>
                <w:rFonts w:hint="eastAsia" w:ascii="宋体" w:hAnsi="宋体" w:cs="宋体"/>
                <w:kern w:val="0"/>
                <w:sz w:val="21"/>
                <w:szCs w:val="21"/>
              </w:rPr>
              <w:t>备注</w:t>
            </w:r>
          </w:p>
        </w:tc>
        <w:tc>
          <w:tcPr>
            <w:tcW w:w="7308" w:type="dxa"/>
            <w:gridSpan w:val="9"/>
            <w:vAlign w:val="center"/>
          </w:tcPr>
          <w:p w14:paraId="7A0B36B8">
            <w:pPr>
              <w:spacing w:line="500" w:lineRule="exact"/>
              <w:rPr>
                <w:rFonts w:hint="eastAsia" w:ascii="宋体" w:hAnsi="宋体" w:cs="宋体"/>
                <w:kern w:val="0"/>
                <w:sz w:val="21"/>
                <w:szCs w:val="21"/>
              </w:rPr>
            </w:pPr>
          </w:p>
        </w:tc>
      </w:tr>
    </w:tbl>
    <w:p w14:paraId="5FF945BF">
      <w:pPr>
        <w:spacing w:line="500" w:lineRule="exact"/>
        <w:rPr>
          <w:rFonts w:hint="eastAsia" w:asciiTheme="minorEastAsia" w:hAnsiTheme="minorEastAsia" w:eastAsiaTheme="minorEastAsia"/>
          <w:b/>
          <w:szCs w:val="28"/>
        </w:rPr>
      </w:pPr>
    </w:p>
    <w:p w14:paraId="78F595B0">
      <w:pPr>
        <w:spacing w:line="500" w:lineRule="exact"/>
        <w:rPr>
          <w:rFonts w:hint="eastAsia" w:asciiTheme="minorEastAsia" w:hAnsiTheme="minorEastAsia" w:eastAsiaTheme="minorEastAsia"/>
          <w:bCs/>
          <w:sz w:val="28"/>
          <w:szCs w:val="28"/>
        </w:rPr>
      </w:pPr>
      <w:r>
        <w:rPr>
          <w:rFonts w:hint="eastAsia" w:asciiTheme="minorEastAsia" w:hAnsiTheme="minorEastAsia" w:eastAsiaTheme="minorEastAsia"/>
          <w:bCs/>
          <w:sz w:val="28"/>
          <w:szCs w:val="28"/>
        </w:rPr>
        <w:t>投标人名称：        （盖章）</w:t>
      </w:r>
    </w:p>
    <w:p w14:paraId="007C70F6">
      <w:pPr>
        <w:spacing w:line="500" w:lineRule="exact"/>
        <w:rPr>
          <w:rFonts w:hint="eastAsia" w:asciiTheme="minorEastAsia" w:hAnsiTheme="minorEastAsia" w:eastAsiaTheme="minorEastAsia"/>
          <w:bCs/>
          <w:sz w:val="28"/>
          <w:szCs w:val="28"/>
        </w:rPr>
      </w:pPr>
      <w:r>
        <w:rPr>
          <w:rFonts w:hint="eastAsia" w:asciiTheme="minorEastAsia" w:hAnsiTheme="minorEastAsia" w:eastAsiaTheme="minorEastAsia"/>
          <w:sz w:val="28"/>
          <w:szCs w:val="28"/>
        </w:rPr>
        <w:t>法定代表人或授权代表（签字）</w:t>
      </w:r>
      <w:r>
        <w:rPr>
          <w:rFonts w:hint="eastAsia" w:asciiTheme="minorEastAsia" w:hAnsiTheme="minorEastAsia" w:eastAsiaTheme="minorEastAsia"/>
          <w:bCs/>
          <w:sz w:val="28"/>
          <w:szCs w:val="28"/>
        </w:rPr>
        <w:t>：</w:t>
      </w:r>
    </w:p>
    <w:p w14:paraId="41062FC2">
      <w:pPr>
        <w:spacing w:line="500" w:lineRule="exact"/>
        <w:rPr>
          <w:rFonts w:hint="eastAsia" w:asciiTheme="minorEastAsia" w:hAnsiTheme="minorEastAsia" w:eastAsiaTheme="minorEastAsia"/>
          <w:bCs/>
          <w:sz w:val="28"/>
          <w:szCs w:val="28"/>
        </w:rPr>
      </w:pPr>
      <w:r>
        <w:rPr>
          <w:rFonts w:hint="eastAsia" w:asciiTheme="minorEastAsia" w:hAnsiTheme="minorEastAsia" w:eastAsiaTheme="minorEastAsia"/>
          <w:bCs/>
          <w:sz w:val="28"/>
          <w:szCs w:val="28"/>
        </w:rPr>
        <w:t>投标日期:</w:t>
      </w:r>
    </w:p>
    <w:p w14:paraId="25630DA1">
      <w:pPr>
        <w:spacing w:line="500" w:lineRule="exact"/>
        <w:ind w:firstLine="616" w:firstLineChars="257"/>
        <w:rPr>
          <w:rFonts w:hint="eastAsia" w:asciiTheme="minorEastAsia" w:hAnsiTheme="minorEastAsia" w:eastAsiaTheme="minorEastAsia"/>
        </w:rPr>
      </w:pPr>
    </w:p>
    <w:p w14:paraId="640EAADC">
      <w:pPr>
        <w:rPr>
          <w:rFonts w:hint="eastAsia" w:asciiTheme="minorEastAsia" w:hAnsiTheme="minorEastAsia" w:eastAsiaTheme="minorEastAsia"/>
          <w:b/>
          <w:sz w:val="28"/>
          <w:szCs w:val="28"/>
        </w:rPr>
      </w:pPr>
    </w:p>
    <w:p w14:paraId="21BD9DCE">
      <w:pPr>
        <w:autoSpaceDE w:val="0"/>
        <w:autoSpaceDN w:val="0"/>
        <w:adjustRightInd w:val="0"/>
        <w:snapToGrid w:val="0"/>
        <w:spacing w:line="360" w:lineRule="auto"/>
        <w:jc w:val="left"/>
        <w:outlineLvl w:val="1"/>
        <w:rPr>
          <w:rFonts w:hint="eastAsia" w:ascii="仿宋" w:hAnsi="仿宋" w:eastAsia="仿宋" w:cs="仿宋"/>
          <w:b/>
          <w:w w:val="99"/>
          <w:kern w:val="0"/>
          <w:sz w:val="28"/>
          <w:szCs w:val="28"/>
          <w:lang w:val="zh-CN"/>
        </w:rPr>
      </w:pPr>
      <w:r>
        <w:rPr>
          <w:rFonts w:hint="eastAsia" w:ascii="仿宋" w:hAnsi="仿宋" w:eastAsia="仿宋" w:cs="仿宋"/>
          <w:b/>
          <w:w w:val="99"/>
          <w:kern w:val="0"/>
          <w:sz w:val="28"/>
          <w:szCs w:val="28"/>
          <w:lang w:val="zh-CN"/>
        </w:rPr>
        <w:t>四、响应文件</w:t>
      </w:r>
    </w:p>
    <w:p w14:paraId="7A65A16E">
      <w:pPr>
        <w:spacing w:line="500" w:lineRule="exact"/>
        <w:rPr>
          <w:rFonts w:hint="eastAsia" w:ascii="仿宋" w:hAnsi="仿宋" w:eastAsia="仿宋" w:cs="仿宋"/>
          <w:b/>
          <w:bCs/>
          <w:kern w:val="0"/>
          <w:sz w:val="28"/>
          <w:szCs w:val="28"/>
        </w:rPr>
      </w:pPr>
      <w:r>
        <w:rPr>
          <w:rFonts w:hint="eastAsia" w:ascii="仿宋" w:hAnsi="仿宋" w:eastAsia="仿宋" w:cs="仿宋"/>
          <w:b/>
          <w:bCs/>
          <w:kern w:val="0"/>
          <w:sz w:val="28"/>
          <w:szCs w:val="28"/>
        </w:rPr>
        <w:t>（根据招标要求由投标人自行编写）</w:t>
      </w:r>
    </w:p>
    <w:p w14:paraId="025BA030">
      <w:pPr>
        <w:autoSpaceDE w:val="0"/>
        <w:autoSpaceDN w:val="0"/>
        <w:adjustRightInd w:val="0"/>
        <w:snapToGrid w:val="0"/>
        <w:spacing w:line="440" w:lineRule="exact"/>
        <w:ind w:firstLine="560" w:firstLineChars="200"/>
        <w:jc w:val="left"/>
        <w:outlineLvl w:val="2"/>
        <w:rPr>
          <w:rFonts w:ascii="Times New Roman" w:hAnsi="Times New Roman" w:eastAsia="方正仿宋_GBK" w:cs="Times New Roman"/>
          <w:b/>
          <w:bCs/>
          <w:kern w:val="0"/>
          <w:sz w:val="28"/>
          <w:szCs w:val="28"/>
        </w:rPr>
      </w:pPr>
      <w:r>
        <w:rPr>
          <w:rFonts w:hint="eastAsia" w:ascii="Times New Roman" w:hAnsi="Times New Roman" w:eastAsia="方正仿宋_GBK" w:cs="Times New Roman"/>
          <w:b/>
          <w:bCs/>
          <w:kern w:val="0"/>
          <w:sz w:val="28"/>
          <w:szCs w:val="28"/>
        </w:rPr>
        <w:t>请列出技术偏离情况表</w:t>
      </w:r>
    </w:p>
    <w:p w14:paraId="101CF555">
      <w:pPr>
        <w:spacing w:line="500" w:lineRule="exact"/>
        <w:rPr>
          <w:rFonts w:hint="eastAsia" w:asciiTheme="minorEastAsia" w:hAnsiTheme="minorEastAsia" w:eastAsiaTheme="minorEastAsia"/>
          <w:b/>
          <w:bCs/>
          <w:sz w:val="28"/>
          <w:szCs w:val="28"/>
        </w:rPr>
      </w:pPr>
    </w:p>
    <w:p w14:paraId="41FC7195">
      <w:pPr>
        <w:spacing w:line="500" w:lineRule="exact"/>
        <w:rPr>
          <w:rFonts w:hint="eastAsia" w:asciiTheme="minorEastAsia" w:hAnsiTheme="minorEastAsia" w:eastAsiaTheme="minorEastAsia"/>
          <w:bCs/>
          <w:szCs w:val="28"/>
        </w:rPr>
      </w:pPr>
    </w:p>
    <w:p w14:paraId="0C9E3859">
      <w:pPr>
        <w:spacing w:line="500" w:lineRule="exact"/>
        <w:rPr>
          <w:rFonts w:hint="eastAsia" w:asciiTheme="minorEastAsia" w:hAnsiTheme="minorEastAsia" w:eastAsiaTheme="minorEastAsia"/>
          <w:bCs/>
          <w:szCs w:val="28"/>
        </w:rPr>
      </w:pPr>
    </w:p>
    <w:p w14:paraId="2CE4724B">
      <w:pPr>
        <w:spacing w:line="500" w:lineRule="exact"/>
        <w:rPr>
          <w:rFonts w:hint="eastAsia" w:asciiTheme="minorEastAsia" w:hAnsiTheme="minorEastAsia" w:eastAsiaTheme="minorEastAsia"/>
          <w:bCs/>
          <w:szCs w:val="28"/>
        </w:rPr>
      </w:pPr>
    </w:p>
    <w:p w14:paraId="5301776B">
      <w:pPr>
        <w:spacing w:line="500" w:lineRule="exact"/>
        <w:rPr>
          <w:rFonts w:hint="eastAsia" w:asciiTheme="minorEastAsia" w:hAnsiTheme="minorEastAsia" w:eastAsiaTheme="minorEastAsia"/>
          <w:bCs/>
          <w:szCs w:val="28"/>
        </w:rPr>
      </w:pPr>
    </w:p>
    <w:p w14:paraId="7A4F2B58">
      <w:pPr>
        <w:spacing w:line="500" w:lineRule="exact"/>
        <w:rPr>
          <w:rFonts w:hint="eastAsia" w:asciiTheme="minorEastAsia" w:hAnsiTheme="minorEastAsia" w:eastAsiaTheme="minorEastAsia"/>
          <w:bCs/>
          <w:szCs w:val="28"/>
        </w:rPr>
      </w:pPr>
    </w:p>
    <w:p w14:paraId="4A3EC940">
      <w:pPr>
        <w:spacing w:line="500" w:lineRule="exact"/>
        <w:rPr>
          <w:rFonts w:hint="eastAsia" w:asciiTheme="minorEastAsia" w:hAnsiTheme="minorEastAsia" w:eastAsiaTheme="minorEastAsia"/>
          <w:bCs/>
          <w:szCs w:val="28"/>
        </w:rPr>
      </w:pPr>
    </w:p>
    <w:p w14:paraId="65BB86DF">
      <w:pPr>
        <w:spacing w:line="500" w:lineRule="exact"/>
        <w:rPr>
          <w:rFonts w:hint="eastAsia" w:asciiTheme="minorEastAsia" w:hAnsiTheme="minorEastAsia" w:eastAsiaTheme="minorEastAsia"/>
          <w:bCs/>
          <w:szCs w:val="28"/>
        </w:rPr>
      </w:pPr>
    </w:p>
    <w:p w14:paraId="6632050E">
      <w:pPr>
        <w:spacing w:line="500" w:lineRule="exact"/>
        <w:rPr>
          <w:rFonts w:hint="eastAsia" w:asciiTheme="minorEastAsia" w:hAnsiTheme="minorEastAsia" w:eastAsiaTheme="minorEastAsia"/>
          <w:bCs/>
          <w:szCs w:val="28"/>
        </w:rPr>
      </w:pPr>
    </w:p>
    <w:p w14:paraId="27F8E771">
      <w:pPr>
        <w:spacing w:line="500" w:lineRule="exact"/>
        <w:rPr>
          <w:rFonts w:hint="eastAsia" w:asciiTheme="minorEastAsia" w:hAnsiTheme="minorEastAsia" w:eastAsiaTheme="minorEastAsia"/>
          <w:bCs/>
          <w:szCs w:val="28"/>
        </w:rPr>
      </w:pPr>
    </w:p>
    <w:p w14:paraId="12D3AF79">
      <w:pPr>
        <w:spacing w:line="500" w:lineRule="exact"/>
        <w:rPr>
          <w:rFonts w:hint="eastAsia" w:asciiTheme="minorEastAsia" w:hAnsiTheme="minorEastAsia" w:eastAsiaTheme="minorEastAsia"/>
          <w:bCs/>
          <w:szCs w:val="28"/>
        </w:rPr>
      </w:pPr>
    </w:p>
    <w:p w14:paraId="5DFF6B21">
      <w:pPr>
        <w:spacing w:line="500" w:lineRule="exact"/>
        <w:rPr>
          <w:rFonts w:hint="eastAsia" w:asciiTheme="minorEastAsia" w:hAnsiTheme="minorEastAsia" w:eastAsiaTheme="minorEastAsia"/>
          <w:bCs/>
          <w:szCs w:val="28"/>
        </w:rPr>
      </w:pPr>
    </w:p>
    <w:p w14:paraId="2ABDB758">
      <w:pPr>
        <w:spacing w:line="500" w:lineRule="exact"/>
        <w:rPr>
          <w:rFonts w:hint="eastAsia" w:asciiTheme="minorEastAsia" w:hAnsiTheme="minorEastAsia" w:eastAsiaTheme="minorEastAsia"/>
          <w:bCs/>
          <w:szCs w:val="28"/>
        </w:rPr>
      </w:pPr>
    </w:p>
    <w:p w14:paraId="4B2F6317">
      <w:pPr>
        <w:spacing w:line="500" w:lineRule="exact"/>
        <w:rPr>
          <w:rFonts w:hint="eastAsia" w:asciiTheme="minorEastAsia" w:hAnsiTheme="minorEastAsia" w:eastAsiaTheme="minorEastAsia"/>
          <w:bCs/>
          <w:szCs w:val="28"/>
        </w:rPr>
      </w:pPr>
    </w:p>
    <w:p w14:paraId="73F94511">
      <w:pPr>
        <w:spacing w:line="500" w:lineRule="exact"/>
        <w:rPr>
          <w:rFonts w:hint="eastAsia" w:asciiTheme="minorEastAsia" w:hAnsiTheme="minorEastAsia" w:eastAsiaTheme="minorEastAsia"/>
          <w:bCs/>
          <w:szCs w:val="28"/>
        </w:rPr>
      </w:pPr>
    </w:p>
    <w:p w14:paraId="3CDB839A">
      <w:pPr>
        <w:spacing w:line="500" w:lineRule="exact"/>
        <w:rPr>
          <w:rFonts w:hint="eastAsia" w:asciiTheme="minorEastAsia" w:hAnsiTheme="minorEastAsia" w:eastAsiaTheme="minorEastAsia"/>
          <w:bCs/>
          <w:szCs w:val="28"/>
        </w:rPr>
      </w:pPr>
    </w:p>
    <w:p w14:paraId="4C549079">
      <w:pPr>
        <w:spacing w:line="500" w:lineRule="exact"/>
        <w:rPr>
          <w:rFonts w:hint="eastAsia" w:asciiTheme="minorEastAsia" w:hAnsiTheme="minorEastAsia" w:eastAsiaTheme="minorEastAsia"/>
          <w:bCs/>
          <w:szCs w:val="28"/>
        </w:rPr>
      </w:pPr>
    </w:p>
    <w:p w14:paraId="63375084">
      <w:pPr>
        <w:spacing w:line="500" w:lineRule="exact"/>
        <w:rPr>
          <w:rFonts w:hint="eastAsia" w:asciiTheme="minorEastAsia" w:hAnsiTheme="minorEastAsia" w:eastAsiaTheme="minorEastAsia"/>
          <w:bCs/>
          <w:szCs w:val="28"/>
        </w:rPr>
      </w:pPr>
    </w:p>
    <w:p w14:paraId="5C18BAA2">
      <w:pPr>
        <w:spacing w:line="500" w:lineRule="exact"/>
        <w:rPr>
          <w:rFonts w:hint="eastAsia" w:asciiTheme="minorEastAsia" w:hAnsiTheme="minorEastAsia" w:eastAsiaTheme="minorEastAsia"/>
          <w:bCs/>
          <w:szCs w:val="28"/>
        </w:rPr>
      </w:pPr>
    </w:p>
    <w:p w14:paraId="3BBCBB28">
      <w:pPr>
        <w:spacing w:line="500" w:lineRule="exact"/>
        <w:rPr>
          <w:rFonts w:hint="eastAsia" w:asciiTheme="minorEastAsia" w:hAnsiTheme="minorEastAsia" w:eastAsiaTheme="minorEastAsia"/>
          <w:bCs/>
          <w:szCs w:val="28"/>
        </w:rPr>
      </w:pPr>
    </w:p>
    <w:p w14:paraId="5264D35C">
      <w:pPr>
        <w:spacing w:line="500" w:lineRule="exact"/>
        <w:rPr>
          <w:rFonts w:hint="eastAsia" w:asciiTheme="minorEastAsia" w:hAnsiTheme="minorEastAsia" w:eastAsiaTheme="minorEastAsia"/>
          <w:bCs/>
          <w:szCs w:val="28"/>
        </w:rPr>
      </w:pPr>
    </w:p>
    <w:p w14:paraId="010D447F">
      <w:pPr>
        <w:spacing w:line="500" w:lineRule="exact"/>
        <w:rPr>
          <w:rFonts w:hint="eastAsia" w:asciiTheme="minorEastAsia" w:hAnsiTheme="minorEastAsia" w:eastAsiaTheme="minorEastAsia"/>
          <w:bCs/>
          <w:szCs w:val="28"/>
        </w:rPr>
      </w:pPr>
    </w:p>
    <w:p w14:paraId="750967F8">
      <w:pPr>
        <w:spacing w:line="500" w:lineRule="exact"/>
        <w:rPr>
          <w:rFonts w:hint="eastAsia" w:asciiTheme="minorEastAsia" w:hAnsiTheme="minorEastAsia" w:eastAsiaTheme="minorEastAsia"/>
          <w:bCs/>
          <w:szCs w:val="28"/>
        </w:rPr>
      </w:pPr>
    </w:p>
    <w:p w14:paraId="04E678E7">
      <w:pPr>
        <w:spacing w:line="500" w:lineRule="exact"/>
        <w:rPr>
          <w:rFonts w:hint="eastAsia" w:asciiTheme="minorEastAsia" w:hAnsiTheme="minorEastAsia" w:eastAsiaTheme="minorEastAsia"/>
          <w:bCs/>
          <w:szCs w:val="28"/>
        </w:rPr>
      </w:pPr>
    </w:p>
    <w:p w14:paraId="0A48C912">
      <w:pPr>
        <w:rPr>
          <w:rFonts w:hint="eastAsia" w:ascii="仿宋" w:hAnsi="仿宋" w:eastAsia="仿宋" w:cs="仿宋"/>
          <w:b/>
          <w:sz w:val="28"/>
          <w:szCs w:val="28"/>
        </w:rPr>
      </w:pPr>
    </w:p>
    <w:p w14:paraId="3BC121B9">
      <w:pPr>
        <w:rPr>
          <w:rFonts w:hint="eastAsia" w:ascii="仿宋" w:hAnsi="仿宋" w:eastAsia="仿宋" w:cs="仿宋"/>
          <w:b/>
          <w:sz w:val="28"/>
          <w:szCs w:val="28"/>
        </w:rPr>
      </w:pPr>
      <w:r>
        <w:rPr>
          <w:rFonts w:hint="eastAsia" w:ascii="仿宋" w:hAnsi="仿宋" w:eastAsia="仿宋" w:cs="仿宋"/>
          <w:b/>
          <w:sz w:val="28"/>
          <w:szCs w:val="28"/>
        </w:rPr>
        <w:t>五、 售后服务</w:t>
      </w:r>
    </w:p>
    <w:p w14:paraId="16C497E9">
      <w:pPr>
        <w:rPr>
          <w:rFonts w:hint="eastAsia" w:asciiTheme="minorEastAsia" w:hAnsiTheme="minorEastAsia" w:eastAsiaTheme="minorEastAsia"/>
          <w:b/>
          <w:sz w:val="28"/>
          <w:szCs w:val="28"/>
        </w:rPr>
      </w:pPr>
    </w:p>
    <w:p w14:paraId="25567C66">
      <w:pPr>
        <w:rPr>
          <w:rFonts w:hint="eastAsia" w:ascii="仿宋" w:hAnsi="仿宋" w:eastAsia="仿宋" w:cs="仿宋"/>
          <w:b/>
          <w:sz w:val="28"/>
          <w:szCs w:val="28"/>
        </w:rPr>
      </w:pPr>
      <w:r>
        <w:rPr>
          <w:rFonts w:hint="eastAsia" w:ascii="仿宋" w:hAnsi="仿宋" w:eastAsia="仿宋" w:cs="仿宋"/>
          <w:b/>
          <w:sz w:val="28"/>
          <w:szCs w:val="28"/>
        </w:rPr>
        <w:t xml:space="preserve">（根据招标要求由投标人自行编写）                                   </w:t>
      </w:r>
    </w:p>
    <w:p w14:paraId="01EF2C20">
      <w:pPr>
        <w:rPr>
          <w:rFonts w:hint="eastAsia" w:ascii="仿宋" w:hAnsi="仿宋" w:eastAsia="仿宋" w:cs="仿宋"/>
          <w:b/>
          <w:sz w:val="28"/>
          <w:szCs w:val="28"/>
        </w:rPr>
      </w:pPr>
    </w:p>
    <w:p w14:paraId="4F7C7DA6">
      <w:pPr>
        <w:rPr>
          <w:rFonts w:hint="eastAsia" w:ascii="仿宋" w:hAnsi="仿宋" w:eastAsia="仿宋" w:cs="仿宋"/>
          <w:b/>
          <w:sz w:val="28"/>
          <w:szCs w:val="28"/>
        </w:rPr>
      </w:pPr>
    </w:p>
    <w:p w14:paraId="75ED21B8">
      <w:pPr>
        <w:rPr>
          <w:rFonts w:hint="eastAsia" w:ascii="仿宋" w:hAnsi="仿宋" w:eastAsia="仿宋" w:cs="仿宋"/>
          <w:b/>
          <w:sz w:val="28"/>
          <w:szCs w:val="28"/>
        </w:rPr>
      </w:pPr>
    </w:p>
    <w:p w14:paraId="25338D93">
      <w:pPr>
        <w:rPr>
          <w:rFonts w:hint="eastAsia" w:ascii="仿宋" w:hAnsi="仿宋" w:eastAsia="仿宋" w:cs="仿宋"/>
          <w:b/>
          <w:sz w:val="28"/>
          <w:szCs w:val="28"/>
        </w:rPr>
      </w:pPr>
    </w:p>
    <w:p w14:paraId="45CB1273">
      <w:pPr>
        <w:rPr>
          <w:rFonts w:hint="eastAsia" w:ascii="仿宋" w:hAnsi="仿宋" w:eastAsia="仿宋" w:cs="仿宋"/>
          <w:b/>
          <w:sz w:val="28"/>
          <w:szCs w:val="28"/>
        </w:rPr>
      </w:pPr>
    </w:p>
    <w:p w14:paraId="1A8F9BA6">
      <w:pPr>
        <w:rPr>
          <w:rFonts w:hint="eastAsia" w:ascii="仿宋" w:hAnsi="仿宋" w:eastAsia="仿宋" w:cs="仿宋"/>
          <w:b/>
          <w:sz w:val="28"/>
          <w:szCs w:val="28"/>
        </w:rPr>
      </w:pPr>
    </w:p>
    <w:p w14:paraId="1252E8ED">
      <w:pPr>
        <w:rPr>
          <w:rFonts w:hint="eastAsia" w:ascii="仿宋" w:hAnsi="仿宋" w:eastAsia="仿宋" w:cs="仿宋"/>
          <w:b/>
          <w:sz w:val="28"/>
          <w:szCs w:val="28"/>
        </w:rPr>
      </w:pPr>
    </w:p>
    <w:p w14:paraId="11BE99BA">
      <w:pPr>
        <w:rPr>
          <w:rFonts w:hint="eastAsia" w:ascii="仿宋" w:hAnsi="仿宋" w:eastAsia="仿宋" w:cs="仿宋"/>
          <w:b/>
          <w:sz w:val="28"/>
          <w:szCs w:val="28"/>
        </w:rPr>
      </w:pPr>
    </w:p>
    <w:p w14:paraId="581C2EF0">
      <w:pPr>
        <w:rPr>
          <w:rFonts w:hint="eastAsia" w:ascii="仿宋" w:hAnsi="仿宋" w:eastAsia="仿宋" w:cs="仿宋"/>
          <w:b/>
          <w:sz w:val="28"/>
          <w:szCs w:val="28"/>
        </w:rPr>
      </w:pPr>
    </w:p>
    <w:p w14:paraId="4C419A22">
      <w:pPr>
        <w:rPr>
          <w:rFonts w:hint="eastAsia" w:ascii="仿宋" w:hAnsi="仿宋" w:eastAsia="仿宋" w:cs="仿宋"/>
          <w:b/>
          <w:sz w:val="28"/>
          <w:szCs w:val="28"/>
        </w:rPr>
      </w:pPr>
    </w:p>
    <w:p w14:paraId="0BC2E83D">
      <w:pPr>
        <w:rPr>
          <w:rFonts w:hint="eastAsia" w:ascii="仿宋" w:hAnsi="仿宋" w:eastAsia="仿宋" w:cs="仿宋"/>
          <w:b/>
          <w:sz w:val="28"/>
          <w:szCs w:val="28"/>
        </w:rPr>
      </w:pPr>
    </w:p>
    <w:p w14:paraId="4F54367D">
      <w:pPr>
        <w:rPr>
          <w:rFonts w:hint="eastAsia" w:ascii="仿宋" w:hAnsi="仿宋" w:eastAsia="仿宋" w:cs="仿宋"/>
          <w:b/>
          <w:sz w:val="28"/>
          <w:szCs w:val="28"/>
        </w:rPr>
      </w:pPr>
    </w:p>
    <w:p w14:paraId="6CBB3A71">
      <w:pPr>
        <w:rPr>
          <w:rFonts w:hint="eastAsia" w:ascii="仿宋" w:hAnsi="仿宋" w:eastAsia="仿宋" w:cs="仿宋"/>
          <w:b/>
          <w:sz w:val="28"/>
          <w:szCs w:val="28"/>
        </w:rPr>
      </w:pPr>
    </w:p>
    <w:p w14:paraId="65BDE381">
      <w:pPr>
        <w:rPr>
          <w:rFonts w:hint="eastAsia" w:ascii="仿宋" w:hAnsi="仿宋" w:eastAsia="仿宋" w:cs="仿宋"/>
          <w:b/>
          <w:sz w:val="28"/>
          <w:szCs w:val="28"/>
        </w:rPr>
      </w:pPr>
    </w:p>
    <w:p w14:paraId="40CDBFC7">
      <w:pPr>
        <w:rPr>
          <w:rFonts w:hint="eastAsia" w:ascii="仿宋" w:hAnsi="仿宋" w:eastAsia="仿宋" w:cs="仿宋"/>
          <w:b/>
          <w:sz w:val="28"/>
          <w:szCs w:val="28"/>
        </w:rPr>
      </w:pPr>
    </w:p>
    <w:p w14:paraId="30430F0F">
      <w:pPr>
        <w:rPr>
          <w:rFonts w:hint="eastAsia" w:ascii="仿宋" w:hAnsi="仿宋" w:eastAsia="仿宋" w:cs="仿宋"/>
          <w:b/>
          <w:sz w:val="28"/>
          <w:szCs w:val="28"/>
        </w:rPr>
      </w:pPr>
    </w:p>
    <w:p w14:paraId="17A57D28">
      <w:pPr>
        <w:rPr>
          <w:rFonts w:hint="eastAsia" w:ascii="仿宋" w:hAnsi="仿宋" w:eastAsia="仿宋" w:cs="仿宋"/>
          <w:b/>
          <w:sz w:val="28"/>
          <w:szCs w:val="28"/>
        </w:rPr>
      </w:pPr>
    </w:p>
    <w:p w14:paraId="42BF1EAE">
      <w:pPr>
        <w:rPr>
          <w:rFonts w:hint="eastAsia" w:ascii="仿宋" w:hAnsi="仿宋" w:eastAsia="仿宋" w:cs="仿宋"/>
          <w:b/>
          <w:sz w:val="28"/>
          <w:szCs w:val="28"/>
        </w:rPr>
      </w:pPr>
    </w:p>
    <w:p w14:paraId="3908C710">
      <w:pPr>
        <w:rPr>
          <w:rFonts w:hint="eastAsia" w:ascii="仿宋" w:hAnsi="仿宋" w:eastAsia="仿宋" w:cs="仿宋"/>
          <w:b/>
          <w:sz w:val="28"/>
          <w:szCs w:val="28"/>
        </w:rPr>
      </w:pPr>
    </w:p>
    <w:p w14:paraId="20C98017">
      <w:pPr>
        <w:rPr>
          <w:rFonts w:hint="eastAsia" w:ascii="仿宋" w:hAnsi="仿宋" w:eastAsia="仿宋" w:cs="仿宋"/>
          <w:b/>
          <w:sz w:val="28"/>
          <w:szCs w:val="28"/>
        </w:rPr>
      </w:pPr>
    </w:p>
    <w:p w14:paraId="6D43AC93">
      <w:pPr>
        <w:rPr>
          <w:rFonts w:hint="eastAsia" w:ascii="仿宋" w:hAnsi="仿宋" w:eastAsia="仿宋" w:cs="仿宋"/>
          <w:b/>
          <w:sz w:val="28"/>
          <w:szCs w:val="28"/>
        </w:rPr>
      </w:pPr>
    </w:p>
    <w:p w14:paraId="58406269">
      <w:pPr>
        <w:rPr>
          <w:rFonts w:hint="eastAsia" w:ascii="仿宋" w:hAnsi="仿宋" w:eastAsia="仿宋" w:cs="仿宋"/>
          <w:b/>
          <w:sz w:val="28"/>
          <w:szCs w:val="28"/>
        </w:rPr>
      </w:pPr>
    </w:p>
    <w:p w14:paraId="390C3C46">
      <w:pPr>
        <w:rPr>
          <w:rFonts w:hint="eastAsia" w:ascii="仿宋" w:hAnsi="仿宋" w:eastAsia="仿宋" w:cs="仿宋"/>
          <w:b/>
          <w:sz w:val="28"/>
          <w:szCs w:val="28"/>
        </w:rPr>
      </w:pPr>
    </w:p>
    <w:p w14:paraId="25711303">
      <w:pPr>
        <w:rPr>
          <w:rFonts w:hint="eastAsia" w:ascii="仿宋" w:hAnsi="仿宋" w:eastAsia="仿宋" w:cs="仿宋"/>
          <w:b/>
          <w:sz w:val="28"/>
          <w:szCs w:val="28"/>
        </w:rPr>
      </w:pPr>
    </w:p>
    <w:p w14:paraId="7DF31BCC">
      <w:pPr>
        <w:rPr>
          <w:rFonts w:hint="eastAsia" w:ascii="仿宋" w:hAnsi="仿宋" w:eastAsia="仿宋" w:cs="仿宋"/>
          <w:b/>
          <w:sz w:val="28"/>
          <w:szCs w:val="28"/>
        </w:rPr>
      </w:pPr>
    </w:p>
    <w:p w14:paraId="727E6CC6">
      <w:pPr>
        <w:rPr>
          <w:rFonts w:hint="eastAsia" w:ascii="仿宋" w:hAnsi="仿宋" w:eastAsia="仿宋" w:cs="仿宋"/>
          <w:b/>
          <w:sz w:val="28"/>
          <w:szCs w:val="28"/>
        </w:rPr>
      </w:pPr>
    </w:p>
    <w:p w14:paraId="771FD7F2">
      <w:pPr>
        <w:rPr>
          <w:rFonts w:hint="eastAsia" w:ascii="仿宋" w:hAnsi="仿宋" w:eastAsia="仿宋" w:cs="仿宋"/>
          <w:b/>
          <w:sz w:val="28"/>
          <w:szCs w:val="28"/>
        </w:rPr>
      </w:pPr>
    </w:p>
    <w:p w14:paraId="1BAC4E09">
      <w:pPr>
        <w:rPr>
          <w:rFonts w:hint="eastAsia" w:ascii="仿宋" w:hAnsi="仿宋" w:eastAsia="仿宋" w:cs="仿宋"/>
          <w:b/>
          <w:sz w:val="28"/>
          <w:szCs w:val="28"/>
        </w:rPr>
      </w:pPr>
    </w:p>
    <w:p w14:paraId="3C3A7122">
      <w:pPr>
        <w:rPr>
          <w:rFonts w:hint="eastAsia" w:ascii="仿宋" w:hAnsi="仿宋" w:eastAsia="仿宋" w:cs="仿宋"/>
          <w:b/>
          <w:sz w:val="28"/>
          <w:szCs w:val="28"/>
        </w:rPr>
      </w:pPr>
    </w:p>
    <w:p w14:paraId="2912F23B">
      <w:pPr>
        <w:rPr>
          <w:rFonts w:hint="eastAsia" w:ascii="仿宋" w:hAnsi="仿宋" w:eastAsia="仿宋" w:cs="仿宋"/>
          <w:b/>
          <w:sz w:val="28"/>
          <w:szCs w:val="28"/>
        </w:rPr>
      </w:pPr>
    </w:p>
    <w:p w14:paraId="56E382D8">
      <w:pPr>
        <w:rPr>
          <w:rFonts w:hint="eastAsia" w:ascii="仿宋" w:hAnsi="仿宋" w:eastAsia="仿宋" w:cs="仿宋"/>
          <w:b/>
          <w:sz w:val="28"/>
          <w:szCs w:val="28"/>
        </w:rPr>
      </w:pPr>
    </w:p>
    <w:p w14:paraId="711F8842">
      <w:pPr>
        <w:rPr>
          <w:rFonts w:hint="eastAsia" w:ascii="仿宋" w:hAnsi="仿宋" w:eastAsia="仿宋" w:cs="仿宋"/>
          <w:b/>
          <w:sz w:val="28"/>
          <w:szCs w:val="28"/>
        </w:rPr>
      </w:pPr>
    </w:p>
    <w:p w14:paraId="61BB4C7A">
      <w:pPr>
        <w:rPr>
          <w:rFonts w:hint="eastAsia" w:ascii="仿宋" w:hAnsi="仿宋" w:eastAsia="仿宋" w:cs="仿宋"/>
          <w:b/>
          <w:sz w:val="28"/>
          <w:szCs w:val="28"/>
        </w:rPr>
      </w:pPr>
    </w:p>
    <w:p w14:paraId="6971D1F0">
      <w:pPr>
        <w:rPr>
          <w:rFonts w:hint="eastAsia" w:ascii="仿宋" w:hAnsi="仿宋" w:eastAsia="仿宋" w:cs="仿宋"/>
          <w:b/>
          <w:sz w:val="28"/>
          <w:szCs w:val="28"/>
        </w:rPr>
      </w:pPr>
    </w:p>
    <w:p w14:paraId="4E8FDA6C">
      <w:pPr>
        <w:pStyle w:val="41"/>
        <w:ind w:firstLine="281"/>
        <w:rPr>
          <w:rFonts w:hint="eastAsia" w:ascii="仿宋" w:hAnsi="仿宋" w:eastAsia="仿宋" w:cs="仿宋"/>
          <w:b/>
          <w:sz w:val="28"/>
          <w:szCs w:val="28"/>
        </w:rPr>
      </w:pPr>
    </w:p>
    <w:p w14:paraId="5073AFEE">
      <w:pPr>
        <w:pStyle w:val="41"/>
        <w:ind w:firstLine="240"/>
      </w:pPr>
    </w:p>
    <w:p w14:paraId="657BBCB6">
      <w:pPr>
        <w:numPr>
          <w:ilvl w:val="0"/>
          <w:numId w:val="11"/>
        </w:numPr>
        <w:rPr>
          <w:rFonts w:hint="eastAsia" w:ascii="仿宋" w:hAnsi="仿宋" w:eastAsia="仿宋" w:cs="仿宋"/>
          <w:b/>
          <w:sz w:val="28"/>
          <w:szCs w:val="28"/>
        </w:rPr>
      </w:pPr>
      <w:r>
        <w:rPr>
          <w:rFonts w:hint="eastAsia" w:ascii="仿宋" w:hAnsi="仿宋" w:eastAsia="仿宋" w:cs="仿宋"/>
          <w:b/>
          <w:sz w:val="28"/>
          <w:szCs w:val="28"/>
        </w:rPr>
        <w:t xml:space="preserve">相关资质证明及承诺    </w:t>
      </w:r>
    </w:p>
    <w:p w14:paraId="2571362A">
      <w:pPr>
        <w:rPr>
          <w:rFonts w:hint="eastAsia" w:ascii="仿宋" w:hAnsi="仿宋" w:eastAsia="仿宋" w:cs="仿宋"/>
          <w:b/>
          <w:sz w:val="28"/>
          <w:szCs w:val="28"/>
        </w:rPr>
        <w:sectPr>
          <w:pgSz w:w="11906" w:h="16838"/>
          <w:pgMar w:top="1440" w:right="1841" w:bottom="1440" w:left="1800" w:header="851" w:footer="992" w:gutter="0"/>
          <w:pgNumType w:fmt="decimal"/>
          <w:cols w:space="425" w:num="1"/>
          <w:docGrid w:linePitch="312" w:charSpace="0"/>
        </w:sectPr>
      </w:pPr>
      <w:r>
        <w:rPr>
          <w:rFonts w:hint="eastAsia" w:ascii="仿宋" w:hAnsi="仿宋" w:eastAsia="仿宋" w:cs="仿宋"/>
          <w:b/>
          <w:sz w:val="28"/>
          <w:szCs w:val="28"/>
        </w:rPr>
        <w:t>营业执照、 员工持证、荣誉等</w:t>
      </w:r>
    </w:p>
    <w:p w14:paraId="279DCCEF">
      <w:pPr>
        <w:rPr>
          <w:rFonts w:hint="eastAsia" w:ascii="仿宋" w:hAnsi="仿宋" w:eastAsia="仿宋" w:cs="仿宋"/>
          <w:b/>
          <w:sz w:val="28"/>
          <w:szCs w:val="28"/>
        </w:rPr>
      </w:pPr>
      <w:r>
        <w:rPr>
          <w:rFonts w:hint="eastAsia" w:ascii="仿宋" w:hAnsi="仿宋" w:eastAsia="仿宋" w:cs="仿宋"/>
          <w:b/>
          <w:sz w:val="28"/>
          <w:szCs w:val="28"/>
        </w:rPr>
        <w:t>七、投标业绩一览表</w:t>
      </w:r>
    </w:p>
    <w:tbl>
      <w:tblPr>
        <w:tblStyle w:val="42"/>
        <w:tblW w:w="8174"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1094"/>
        <w:gridCol w:w="1239"/>
        <w:gridCol w:w="1260"/>
        <w:gridCol w:w="1620"/>
        <w:gridCol w:w="1620"/>
        <w:gridCol w:w="1341"/>
      </w:tblGrid>
      <w:tr w14:paraId="31F70AB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tcBorders>
              <w:top w:val="single" w:color="auto" w:sz="4" w:space="0"/>
            </w:tcBorders>
            <w:vAlign w:val="center"/>
          </w:tcPr>
          <w:p w14:paraId="6BCBBB0C">
            <w:pPr>
              <w:spacing w:line="500" w:lineRule="exact"/>
              <w:jc w:val="center"/>
              <w:rPr>
                <w:rFonts w:hint="eastAsia" w:ascii="宋体" w:hAnsi="宋体" w:cs="宋体"/>
                <w:b/>
                <w:sz w:val="21"/>
                <w:szCs w:val="21"/>
              </w:rPr>
            </w:pPr>
            <w:r>
              <w:rPr>
                <w:rFonts w:hint="eastAsia" w:ascii="宋体" w:hAnsi="宋体" w:cs="宋体"/>
                <w:b/>
                <w:sz w:val="21"/>
                <w:szCs w:val="21"/>
              </w:rPr>
              <w:t>年份</w:t>
            </w:r>
          </w:p>
        </w:tc>
        <w:tc>
          <w:tcPr>
            <w:tcW w:w="1239" w:type="dxa"/>
            <w:vAlign w:val="center"/>
          </w:tcPr>
          <w:p w14:paraId="01D3AD7B">
            <w:pPr>
              <w:spacing w:line="500" w:lineRule="exact"/>
              <w:jc w:val="center"/>
              <w:rPr>
                <w:rFonts w:hint="eastAsia" w:ascii="宋体" w:hAnsi="宋体" w:cs="宋体"/>
                <w:b/>
                <w:sz w:val="21"/>
                <w:szCs w:val="21"/>
              </w:rPr>
            </w:pPr>
            <w:r>
              <w:rPr>
                <w:rFonts w:hint="eastAsia" w:ascii="宋体" w:hAnsi="宋体" w:cs="宋体"/>
                <w:b/>
                <w:sz w:val="21"/>
                <w:szCs w:val="21"/>
              </w:rPr>
              <w:t>用户名称</w:t>
            </w:r>
          </w:p>
        </w:tc>
        <w:tc>
          <w:tcPr>
            <w:tcW w:w="1260" w:type="dxa"/>
            <w:vAlign w:val="center"/>
          </w:tcPr>
          <w:p w14:paraId="30B2ED60">
            <w:pPr>
              <w:spacing w:line="500" w:lineRule="exact"/>
              <w:jc w:val="center"/>
              <w:rPr>
                <w:rFonts w:hint="eastAsia" w:ascii="宋体" w:hAnsi="宋体" w:cs="宋体"/>
                <w:b/>
                <w:sz w:val="21"/>
                <w:szCs w:val="21"/>
              </w:rPr>
            </w:pPr>
            <w:r>
              <w:rPr>
                <w:rFonts w:hint="eastAsia" w:ascii="宋体" w:hAnsi="宋体" w:cs="宋体"/>
                <w:b/>
                <w:sz w:val="21"/>
                <w:szCs w:val="21"/>
              </w:rPr>
              <w:t>项目名称</w:t>
            </w:r>
          </w:p>
        </w:tc>
        <w:tc>
          <w:tcPr>
            <w:tcW w:w="1620" w:type="dxa"/>
            <w:vAlign w:val="center"/>
          </w:tcPr>
          <w:p w14:paraId="5B493D5D">
            <w:pPr>
              <w:spacing w:line="500" w:lineRule="exact"/>
              <w:jc w:val="center"/>
              <w:rPr>
                <w:rFonts w:hint="eastAsia" w:ascii="宋体" w:hAnsi="宋体" w:cs="宋体"/>
                <w:b/>
                <w:sz w:val="21"/>
                <w:szCs w:val="21"/>
              </w:rPr>
            </w:pPr>
            <w:r>
              <w:rPr>
                <w:rFonts w:hint="eastAsia" w:ascii="宋体" w:hAnsi="宋体" w:cs="宋体"/>
                <w:b/>
                <w:sz w:val="21"/>
                <w:szCs w:val="21"/>
              </w:rPr>
              <w:t>完成时间或在建</w:t>
            </w:r>
          </w:p>
        </w:tc>
        <w:tc>
          <w:tcPr>
            <w:tcW w:w="1620" w:type="dxa"/>
            <w:tcBorders>
              <w:right w:val="single" w:color="auto" w:sz="4" w:space="0"/>
            </w:tcBorders>
            <w:vAlign w:val="center"/>
          </w:tcPr>
          <w:p w14:paraId="23C40030">
            <w:pPr>
              <w:spacing w:line="500" w:lineRule="exact"/>
              <w:jc w:val="center"/>
              <w:rPr>
                <w:rFonts w:hint="eastAsia" w:ascii="宋体" w:hAnsi="宋体" w:cs="宋体"/>
                <w:b/>
                <w:sz w:val="21"/>
                <w:szCs w:val="21"/>
              </w:rPr>
            </w:pPr>
            <w:r>
              <w:rPr>
                <w:rFonts w:hint="eastAsia" w:ascii="宋体" w:hAnsi="宋体" w:cs="宋体"/>
                <w:b/>
                <w:sz w:val="21"/>
                <w:szCs w:val="21"/>
              </w:rPr>
              <w:t>完成项目质量</w:t>
            </w:r>
          </w:p>
        </w:tc>
        <w:tc>
          <w:tcPr>
            <w:tcW w:w="1341" w:type="dxa"/>
            <w:tcBorders>
              <w:left w:val="single" w:color="auto" w:sz="4" w:space="0"/>
            </w:tcBorders>
            <w:vAlign w:val="center"/>
          </w:tcPr>
          <w:p w14:paraId="3147FE64">
            <w:pPr>
              <w:spacing w:line="500" w:lineRule="exact"/>
              <w:jc w:val="center"/>
              <w:rPr>
                <w:rFonts w:hint="eastAsia" w:ascii="宋体" w:hAnsi="宋体" w:cs="宋体"/>
                <w:b/>
                <w:sz w:val="21"/>
                <w:szCs w:val="21"/>
              </w:rPr>
            </w:pPr>
            <w:r>
              <w:rPr>
                <w:rFonts w:hint="eastAsia" w:ascii="宋体" w:hAnsi="宋体" w:cs="宋体"/>
                <w:b/>
                <w:sz w:val="21"/>
                <w:szCs w:val="21"/>
              </w:rPr>
              <w:t>备注</w:t>
            </w:r>
          </w:p>
        </w:tc>
      </w:tr>
      <w:tr w14:paraId="5F746EC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6D62AD6C">
            <w:pPr>
              <w:spacing w:line="500" w:lineRule="exact"/>
              <w:jc w:val="center"/>
              <w:rPr>
                <w:rFonts w:hint="eastAsia" w:ascii="宋体" w:hAnsi="宋体" w:cs="宋体"/>
                <w:sz w:val="21"/>
                <w:szCs w:val="21"/>
              </w:rPr>
            </w:pPr>
          </w:p>
        </w:tc>
        <w:tc>
          <w:tcPr>
            <w:tcW w:w="1239" w:type="dxa"/>
            <w:vAlign w:val="center"/>
          </w:tcPr>
          <w:p w14:paraId="7DA4091C">
            <w:pPr>
              <w:spacing w:line="500" w:lineRule="exact"/>
              <w:jc w:val="center"/>
              <w:rPr>
                <w:rFonts w:hint="eastAsia" w:ascii="宋体" w:hAnsi="宋体" w:cs="宋体"/>
                <w:sz w:val="21"/>
                <w:szCs w:val="21"/>
              </w:rPr>
            </w:pPr>
          </w:p>
        </w:tc>
        <w:tc>
          <w:tcPr>
            <w:tcW w:w="1260" w:type="dxa"/>
            <w:vAlign w:val="center"/>
          </w:tcPr>
          <w:p w14:paraId="18FE6133">
            <w:pPr>
              <w:spacing w:line="500" w:lineRule="exact"/>
              <w:jc w:val="center"/>
              <w:rPr>
                <w:rFonts w:hint="eastAsia" w:ascii="宋体" w:hAnsi="宋体" w:cs="宋体"/>
                <w:sz w:val="21"/>
                <w:szCs w:val="21"/>
              </w:rPr>
            </w:pPr>
          </w:p>
        </w:tc>
        <w:tc>
          <w:tcPr>
            <w:tcW w:w="1620" w:type="dxa"/>
            <w:vAlign w:val="center"/>
          </w:tcPr>
          <w:p w14:paraId="71E395E6">
            <w:pPr>
              <w:spacing w:line="500" w:lineRule="exact"/>
              <w:jc w:val="center"/>
              <w:rPr>
                <w:rFonts w:hint="eastAsia" w:ascii="宋体" w:hAnsi="宋体" w:cs="宋体"/>
                <w:sz w:val="21"/>
                <w:szCs w:val="21"/>
              </w:rPr>
            </w:pPr>
          </w:p>
        </w:tc>
        <w:tc>
          <w:tcPr>
            <w:tcW w:w="1620" w:type="dxa"/>
            <w:tcBorders>
              <w:right w:val="single" w:color="auto" w:sz="4" w:space="0"/>
            </w:tcBorders>
            <w:vAlign w:val="center"/>
          </w:tcPr>
          <w:p w14:paraId="42FA977C">
            <w:pPr>
              <w:spacing w:line="500" w:lineRule="exact"/>
              <w:jc w:val="center"/>
              <w:rPr>
                <w:rFonts w:hint="eastAsia" w:ascii="宋体" w:hAnsi="宋体" w:cs="宋体"/>
                <w:sz w:val="21"/>
                <w:szCs w:val="21"/>
              </w:rPr>
            </w:pPr>
          </w:p>
        </w:tc>
        <w:tc>
          <w:tcPr>
            <w:tcW w:w="1341" w:type="dxa"/>
            <w:tcBorders>
              <w:left w:val="single" w:color="auto" w:sz="4" w:space="0"/>
            </w:tcBorders>
            <w:vAlign w:val="center"/>
          </w:tcPr>
          <w:p w14:paraId="22923E80">
            <w:pPr>
              <w:spacing w:line="500" w:lineRule="exact"/>
              <w:jc w:val="center"/>
              <w:rPr>
                <w:rFonts w:hint="eastAsia" w:ascii="宋体" w:hAnsi="宋体" w:cs="宋体"/>
                <w:sz w:val="21"/>
                <w:szCs w:val="21"/>
              </w:rPr>
            </w:pPr>
          </w:p>
        </w:tc>
      </w:tr>
      <w:tr w14:paraId="502552E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10CB47BA">
            <w:pPr>
              <w:spacing w:line="500" w:lineRule="exact"/>
              <w:jc w:val="center"/>
              <w:rPr>
                <w:rFonts w:hint="eastAsia" w:ascii="宋体" w:hAnsi="宋体" w:cs="宋体"/>
                <w:sz w:val="21"/>
                <w:szCs w:val="21"/>
              </w:rPr>
            </w:pPr>
          </w:p>
        </w:tc>
        <w:tc>
          <w:tcPr>
            <w:tcW w:w="1239" w:type="dxa"/>
            <w:vAlign w:val="center"/>
          </w:tcPr>
          <w:p w14:paraId="618B6636">
            <w:pPr>
              <w:spacing w:line="500" w:lineRule="exact"/>
              <w:jc w:val="center"/>
              <w:rPr>
                <w:rFonts w:hint="eastAsia" w:ascii="宋体" w:hAnsi="宋体" w:cs="宋体"/>
                <w:sz w:val="21"/>
                <w:szCs w:val="21"/>
              </w:rPr>
            </w:pPr>
          </w:p>
        </w:tc>
        <w:tc>
          <w:tcPr>
            <w:tcW w:w="1260" w:type="dxa"/>
            <w:vAlign w:val="center"/>
          </w:tcPr>
          <w:p w14:paraId="3BDD15EF">
            <w:pPr>
              <w:spacing w:line="500" w:lineRule="exact"/>
              <w:jc w:val="center"/>
              <w:rPr>
                <w:rFonts w:hint="eastAsia" w:ascii="宋体" w:hAnsi="宋体" w:cs="宋体"/>
                <w:sz w:val="21"/>
                <w:szCs w:val="21"/>
              </w:rPr>
            </w:pPr>
          </w:p>
        </w:tc>
        <w:tc>
          <w:tcPr>
            <w:tcW w:w="1620" w:type="dxa"/>
            <w:vAlign w:val="center"/>
          </w:tcPr>
          <w:p w14:paraId="2B9F5661">
            <w:pPr>
              <w:spacing w:line="500" w:lineRule="exact"/>
              <w:jc w:val="center"/>
              <w:rPr>
                <w:rFonts w:hint="eastAsia" w:ascii="宋体" w:hAnsi="宋体" w:cs="宋体"/>
                <w:sz w:val="21"/>
                <w:szCs w:val="21"/>
              </w:rPr>
            </w:pPr>
          </w:p>
        </w:tc>
        <w:tc>
          <w:tcPr>
            <w:tcW w:w="1620" w:type="dxa"/>
            <w:tcBorders>
              <w:right w:val="single" w:color="auto" w:sz="4" w:space="0"/>
            </w:tcBorders>
            <w:vAlign w:val="center"/>
          </w:tcPr>
          <w:p w14:paraId="1AC197F0">
            <w:pPr>
              <w:spacing w:line="500" w:lineRule="exact"/>
              <w:jc w:val="center"/>
              <w:rPr>
                <w:rFonts w:hint="eastAsia" w:ascii="宋体" w:hAnsi="宋体" w:cs="宋体"/>
                <w:sz w:val="21"/>
                <w:szCs w:val="21"/>
              </w:rPr>
            </w:pPr>
          </w:p>
        </w:tc>
        <w:tc>
          <w:tcPr>
            <w:tcW w:w="1341" w:type="dxa"/>
            <w:tcBorders>
              <w:left w:val="single" w:color="auto" w:sz="4" w:space="0"/>
            </w:tcBorders>
            <w:vAlign w:val="center"/>
          </w:tcPr>
          <w:p w14:paraId="0FEE9DB8">
            <w:pPr>
              <w:spacing w:line="500" w:lineRule="exact"/>
              <w:jc w:val="center"/>
              <w:rPr>
                <w:rFonts w:hint="eastAsia" w:ascii="宋体" w:hAnsi="宋体" w:cs="宋体"/>
                <w:sz w:val="21"/>
                <w:szCs w:val="21"/>
              </w:rPr>
            </w:pPr>
          </w:p>
        </w:tc>
      </w:tr>
      <w:tr w14:paraId="4E6A697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42EAC841">
            <w:pPr>
              <w:spacing w:line="500" w:lineRule="exact"/>
              <w:jc w:val="center"/>
              <w:rPr>
                <w:rFonts w:hint="eastAsia" w:ascii="宋体" w:hAnsi="宋体" w:cs="宋体"/>
                <w:sz w:val="21"/>
                <w:szCs w:val="21"/>
              </w:rPr>
            </w:pPr>
          </w:p>
        </w:tc>
        <w:tc>
          <w:tcPr>
            <w:tcW w:w="1239" w:type="dxa"/>
            <w:vAlign w:val="center"/>
          </w:tcPr>
          <w:p w14:paraId="44113902">
            <w:pPr>
              <w:spacing w:line="500" w:lineRule="exact"/>
              <w:jc w:val="center"/>
              <w:rPr>
                <w:rFonts w:hint="eastAsia" w:ascii="宋体" w:hAnsi="宋体" w:cs="宋体"/>
                <w:sz w:val="21"/>
                <w:szCs w:val="21"/>
              </w:rPr>
            </w:pPr>
          </w:p>
        </w:tc>
        <w:tc>
          <w:tcPr>
            <w:tcW w:w="1260" w:type="dxa"/>
            <w:vAlign w:val="center"/>
          </w:tcPr>
          <w:p w14:paraId="63C4E1EF">
            <w:pPr>
              <w:spacing w:line="500" w:lineRule="exact"/>
              <w:jc w:val="center"/>
              <w:rPr>
                <w:rFonts w:hint="eastAsia" w:ascii="宋体" w:hAnsi="宋体" w:cs="宋体"/>
                <w:sz w:val="21"/>
                <w:szCs w:val="21"/>
              </w:rPr>
            </w:pPr>
          </w:p>
        </w:tc>
        <w:tc>
          <w:tcPr>
            <w:tcW w:w="1620" w:type="dxa"/>
            <w:vAlign w:val="center"/>
          </w:tcPr>
          <w:p w14:paraId="131C705C">
            <w:pPr>
              <w:spacing w:line="500" w:lineRule="exact"/>
              <w:jc w:val="center"/>
              <w:rPr>
                <w:rFonts w:hint="eastAsia" w:ascii="宋体" w:hAnsi="宋体" w:cs="宋体"/>
                <w:sz w:val="21"/>
                <w:szCs w:val="21"/>
              </w:rPr>
            </w:pPr>
          </w:p>
        </w:tc>
        <w:tc>
          <w:tcPr>
            <w:tcW w:w="1620" w:type="dxa"/>
            <w:tcBorders>
              <w:right w:val="single" w:color="auto" w:sz="4" w:space="0"/>
            </w:tcBorders>
            <w:vAlign w:val="center"/>
          </w:tcPr>
          <w:p w14:paraId="450F276E">
            <w:pPr>
              <w:spacing w:line="500" w:lineRule="exact"/>
              <w:jc w:val="center"/>
              <w:rPr>
                <w:rFonts w:hint="eastAsia" w:ascii="宋体" w:hAnsi="宋体" w:cs="宋体"/>
                <w:sz w:val="21"/>
                <w:szCs w:val="21"/>
              </w:rPr>
            </w:pPr>
          </w:p>
        </w:tc>
        <w:tc>
          <w:tcPr>
            <w:tcW w:w="1341" w:type="dxa"/>
            <w:tcBorders>
              <w:left w:val="single" w:color="auto" w:sz="4" w:space="0"/>
            </w:tcBorders>
            <w:vAlign w:val="center"/>
          </w:tcPr>
          <w:p w14:paraId="71686EAA">
            <w:pPr>
              <w:spacing w:line="500" w:lineRule="exact"/>
              <w:jc w:val="center"/>
              <w:rPr>
                <w:rFonts w:hint="eastAsia" w:ascii="宋体" w:hAnsi="宋体" w:cs="宋体"/>
                <w:sz w:val="21"/>
                <w:szCs w:val="21"/>
              </w:rPr>
            </w:pPr>
          </w:p>
        </w:tc>
      </w:tr>
      <w:tr w14:paraId="7FE4824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635BED4A">
            <w:pPr>
              <w:spacing w:line="500" w:lineRule="exact"/>
              <w:jc w:val="center"/>
              <w:rPr>
                <w:rFonts w:hint="eastAsia" w:ascii="宋体" w:hAnsi="宋体" w:cs="宋体"/>
                <w:sz w:val="21"/>
                <w:szCs w:val="21"/>
              </w:rPr>
            </w:pPr>
          </w:p>
        </w:tc>
        <w:tc>
          <w:tcPr>
            <w:tcW w:w="1239" w:type="dxa"/>
            <w:tcBorders>
              <w:right w:val="single" w:color="auto" w:sz="4" w:space="0"/>
            </w:tcBorders>
            <w:vAlign w:val="center"/>
          </w:tcPr>
          <w:p w14:paraId="58AB1689">
            <w:pPr>
              <w:spacing w:line="500" w:lineRule="exact"/>
              <w:jc w:val="center"/>
              <w:rPr>
                <w:rFonts w:hint="eastAsia" w:ascii="宋体" w:hAnsi="宋体" w:cs="宋体"/>
                <w:sz w:val="21"/>
                <w:szCs w:val="21"/>
              </w:rPr>
            </w:pPr>
          </w:p>
        </w:tc>
        <w:tc>
          <w:tcPr>
            <w:tcW w:w="1260" w:type="dxa"/>
            <w:tcBorders>
              <w:left w:val="single" w:color="auto" w:sz="4" w:space="0"/>
            </w:tcBorders>
            <w:vAlign w:val="center"/>
          </w:tcPr>
          <w:p w14:paraId="368C59C4">
            <w:pPr>
              <w:spacing w:line="500" w:lineRule="exact"/>
              <w:jc w:val="center"/>
              <w:rPr>
                <w:rFonts w:hint="eastAsia" w:ascii="宋体" w:hAnsi="宋体" w:cs="宋体"/>
                <w:sz w:val="21"/>
                <w:szCs w:val="21"/>
              </w:rPr>
            </w:pPr>
          </w:p>
        </w:tc>
        <w:tc>
          <w:tcPr>
            <w:tcW w:w="1620" w:type="dxa"/>
            <w:vAlign w:val="center"/>
          </w:tcPr>
          <w:p w14:paraId="415C7F6E">
            <w:pPr>
              <w:spacing w:line="500" w:lineRule="exact"/>
              <w:jc w:val="center"/>
              <w:rPr>
                <w:rFonts w:hint="eastAsia" w:ascii="宋体" w:hAnsi="宋体" w:cs="宋体"/>
                <w:sz w:val="21"/>
                <w:szCs w:val="21"/>
              </w:rPr>
            </w:pPr>
          </w:p>
        </w:tc>
        <w:tc>
          <w:tcPr>
            <w:tcW w:w="1620" w:type="dxa"/>
            <w:tcBorders>
              <w:right w:val="single" w:color="auto" w:sz="4" w:space="0"/>
            </w:tcBorders>
            <w:vAlign w:val="center"/>
          </w:tcPr>
          <w:p w14:paraId="149186E4">
            <w:pPr>
              <w:spacing w:line="500" w:lineRule="exact"/>
              <w:jc w:val="center"/>
              <w:rPr>
                <w:rFonts w:hint="eastAsia" w:ascii="宋体" w:hAnsi="宋体" w:cs="宋体"/>
                <w:sz w:val="21"/>
                <w:szCs w:val="21"/>
              </w:rPr>
            </w:pPr>
          </w:p>
        </w:tc>
        <w:tc>
          <w:tcPr>
            <w:tcW w:w="1341" w:type="dxa"/>
            <w:tcBorders>
              <w:left w:val="single" w:color="auto" w:sz="4" w:space="0"/>
            </w:tcBorders>
            <w:vAlign w:val="center"/>
          </w:tcPr>
          <w:p w14:paraId="2DF089D5">
            <w:pPr>
              <w:spacing w:line="500" w:lineRule="exact"/>
              <w:jc w:val="center"/>
              <w:rPr>
                <w:rFonts w:hint="eastAsia" w:ascii="宋体" w:hAnsi="宋体" w:cs="宋体"/>
                <w:sz w:val="21"/>
                <w:szCs w:val="21"/>
              </w:rPr>
            </w:pPr>
          </w:p>
        </w:tc>
      </w:tr>
      <w:tr w14:paraId="647A098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tcBorders>
              <w:right w:val="single" w:color="auto" w:sz="4" w:space="0"/>
            </w:tcBorders>
            <w:vAlign w:val="center"/>
          </w:tcPr>
          <w:p w14:paraId="7C66A5B9">
            <w:pPr>
              <w:spacing w:line="500" w:lineRule="exact"/>
              <w:jc w:val="center"/>
              <w:rPr>
                <w:rFonts w:hint="eastAsia" w:ascii="宋体" w:hAnsi="宋体" w:cs="宋体"/>
                <w:sz w:val="21"/>
                <w:szCs w:val="21"/>
              </w:rPr>
            </w:pPr>
          </w:p>
        </w:tc>
        <w:tc>
          <w:tcPr>
            <w:tcW w:w="1239" w:type="dxa"/>
            <w:tcBorders>
              <w:left w:val="single" w:color="auto" w:sz="4" w:space="0"/>
              <w:right w:val="single" w:color="auto" w:sz="4" w:space="0"/>
            </w:tcBorders>
            <w:vAlign w:val="center"/>
          </w:tcPr>
          <w:p w14:paraId="08F09270">
            <w:pPr>
              <w:spacing w:line="500" w:lineRule="exact"/>
              <w:jc w:val="center"/>
              <w:rPr>
                <w:rFonts w:hint="eastAsia" w:ascii="宋体" w:hAnsi="宋体" w:cs="宋体"/>
                <w:sz w:val="21"/>
                <w:szCs w:val="21"/>
              </w:rPr>
            </w:pPr>
          </w:p>
        </w:tc>
        <w:tc>
          <w:tcPr>
            <w:tcW w:w="1260" w:type="dxa"/>
            <w:tcBorders>
              <w:left w:val="single" w:color="auto" w:sz="4" w:space="0"/>
              <w:right w:val="single" w:color="auto" w:sz="4" w:space="0"/>
            </w:tcBorders>
            <w:vAlign w:val="center"/>
          </w:tcPr>
          <w:p w14:paraId="102E7947">
            <w:pPr>
              <w:spacing w:line="500" w:lineRule="exact"/>
              <w:jc w:val="center"/>
              <w:rPr>
                <w:rFonts w:hint="eastAsia" w:ascii="宋体" w:hAnsi="宋体" w:cs="宋体"/>
                <w:sz w:val="21"/>
                <w:szCs w:val="21"/>
              </w:rPr>
            </w:pPr>
          </w:p>
        </w:tc>
        <w:tc>
          <w:tcPr>
            <w:tcW w:w="1620" w:type="dxa"/>
            <w:tcBorders>
              <w:left w:val="single" w:color="auto" w:sz="4" w:space="0"/>
              <w:right w:val="single" w:color="auto" w:sz="4" w:space="0"/>
            </w:tcBorders>
            <w:vAlign w:val="center"/>
          </w:tcPr>
          <w:p w14:paraId="61EF612C">
            <w:pPr>
              <w:spacing w:line="500" w:lineRule="exact"/>
              <w:jc w:val="center"/>
              <w:rPr>
                <w:rFonts w:hint="eastAsia" w:ascii="宋体" w:hAnsi="宋体" w:cs="宋体"/>
                <w:sz w:val="21"/>
                <w:szCs w:val="21"/>
              </w:rPr>
            </w:pPr>
          </w:p>
        </w:tc>
        <w:tc>
          <w:tcPr>
            <w:tcW w:w="1620" w:type="dxa"/>
            <w:tcBorders>
              <w:left w:val="single" w:color="auto" w:sz="4" w:space="0"/>
              <w:right w:val="single" w:color="auto" w:sz="4" w:space="0"/>
            </w:tcBorders>
            <w:vAlign w:val="center"/>
          </w:tcPr>
          <w:p w14:paraId="376FC0A8">
            <w:pPr>
              <w:spacing w:line="500" w:lineRule="exact"/>
              <w:jc w:val="center"/>
              <w:rPr>
                <w:rFonts w:hint="eastAsia" w:ascii="宋体" w:hAnsi="宋体" w:cs="宋体"/>
                <w:sz w:val="21"/>
                <w:szCs w:val="21"/>
              </w:rPr>
            </w:pPr>
          </w:p>
        </w:tc>
        <w:tc>
          <w:tcPr>
            <w:tcW w:w="1341" w:type="dxa"/>
            <w:tcBorders>
              <w:left w:val="single" w:color="auto" w:sz="4" w:space="0"/>
            </w:tcBorders>
            <w:vAlign w:val="center"/>
          </w:tcPr>
          <w:p w14:paraId="553EC78B">
            <w:pPr>
              <w:spacing w:line="500" w:lineRule="exact"/>
              <w:jc w:val="center"/>
              <w:rPr>
                <w:rFonts w:hint="eastAsia" w:ascii="宋体" w:hAnsi="宋体" w:cs="宋体"/>
                <w:sz w:val="21"/>
                <w:szCs w:val="21"/>
              </w:rPr>
            </w:pPr>
          </w:p>
        </w:tc>
      </w:tr>
      <w:tr w14:paraId="021D12D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38CC0DFB">
            <w:pPr>
              <w:spacing w:line="500" w:lineRule="exact"/>
              <w:jc w:val="center"/>
              <w:rPr>
                <w:rFonts w:hint="eastAsia" w:ascii="宋体" w:hAnsi="宋体" w:cs="宋体"/>
                <w:sz w:val="21"/>
                <w:szCs w:val="21"/>
              </w:rPr>
            </w:pPr>
          </w:p>
        </w:tc>
        <w:tc>
          <w:tcPr>
            <w:tcW w:w="1239" w:type="dxa"/>
            <w:vAlign w:val="center"/>
          </w:tcPr>
          <w:p w14:paraId="074127C9">
            <w:pPr>
              <w:spacing w:line="500" w:lineRule="exact"/>
              <w:jc w:val="center"/>
              <w:rPr>
                <w:rFonts w:hint="eastAsia" w:ascii="宋体" w:hAnsi="宋体" w:cs="宋体"/>
                <w:sz w:val="21"/>
                <w:szCs w:val="21"/>
              </w:rPr>
            </w:pPr>
          </w:p>
        </w:tc>
        <w:tc>
          <w:tcPr>
            <w:tcW w:w="1260" w:type="dxa"/>
            <w:vAlign w:val="center"/>
          </w:tcPr>
          <w:p w14:paraId="699FF613">
            <w:pPr>
              <w:spacing w:line="500" w:lineRule="exact"/>
              <w:jc w:val="center"/>
              <w:rPr>
                <w:rFonts w:hint="eastAsia" w:ascii="宋体" w:hAnsi="宋体" w:cs="宋体"/>
                <w:sz w:val="21"/>
                <w:szCs w:val="21"/>
              </w:rPr>
            </w:pPr>
          </w:p>
        </w:tc>
        <w:tc>
          <w:tcPr>
            <w:tcW w:w="1620" w:type="dxa"/>
            <w:vAlign w:val="center"/>
          </w:tcPr>
          <w:p w14:paraId="38B02F9D">
            <w:pPr>
              <w:spacing w:line="500" w:lineRule="exact"/>
              <w:jc w:val="center"/>
              <w:rPr>
                <w:rFonts w:hint="eastAsia" w:ascii="宋体" w:hAnsi="宋体" w:cs="宋体"/>
                <w:sz w:val="21"/>
                <w:szCs w:val="21"/>
              </w:rPr>
            </w:pPr>
          </w:p>
        </w:tc>
        <w:tc>
          <w:tcPr>
            <w:tcW w:w="1620" w:type="dxa"/>
            <w:tcBorders>
              <w:left w:val="single" w:color="auto" w:sz="4" w:space="0"/>
              <w:right w:val="single" w:color="auto" w:sz="4" w:space="0"/>
            </w:tcBorders>
            <w:vAlign w:val="center"/>
          </w:tcPr>
          <w:p w14:paraId="5A1F6569">
            <w:pPr>
              <w:spacing w:line="500" w:lineRule="exact"/>
              <w:jc w:val="center"/>
              <w:rPr>
                <w:rFonts w:hint="eastAsia" w:ascii="宋体" w:hAnsi="宋体" w:cs="宋体"/>
                <w:sz w:val="21"/>
                <w:szCs w:val="21"/>
              </w:rPr>
            </w:pPr>
          </w:p>
        </w:tc>
        <w:tc>
          <w:tcPr>
            <w:tcW w:w="1341" w:type="dxa"/>
            <w:tcBorders>
              <w:left w:val="single" w:color="auto" w:sz="4" w:space="0"/>
            </w:tcBorders>
            <w:vAlign w:val="center"/>
          </w:tcPr>
          <w:p w14:paraId="01826303">
            <w:pPr>
              <w:spacing w:line="500" w:lineRule="exact"/>
              <w:jc w:val="center"/>
              <w:rPr>
                <w:rFonts w:hint="eastAsia" w:ascii="宋体" w:hAnsi="宋体" w:cs="宋体"/>
                <w:sz w:val="21"/>
                <w:szCs w:val="21"/>
              </w:rPr>
            </w:pPr>
          </w:p>
        </w:tc>
      </w:tr>
      <w:tr w14:paraId="278744D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306907D8">
            <w:pPr>
              <w:spacing w:line="500" w:lineRule="exact"/>
              <w:jc w:val="center"/>
              <w:rPr>
                <w:rFonts w:hint="eastAsia" w:ascii="宋体" w:hAnsi="宋体" w:cs="宋体"/>
                <w:sz w:val="21"/>
                <w:szCs w:val="21"/>
              </w:rPr>
            </w:pPr>
          </w:p>
        </w:tc>
        <w:tc>
          <w:tcPr>
            <w:tcW w:w="1239" w:type="dxa"/>
            <w:vAlign w:val="center"/>
          </w:tcPr>
          <w:p w14:paraId="485EB5DB">
            <w:pPr>
              <w:spacing w:line="500" w:lineRule="exact"/>
              <w:jc w:val="center"/>
              <w:rPr>
                <w:rFonts w:hint="eastAsia" w:ascii="宋体" w:hAnsi="宋体" w:cs="宋体"/>
                <w:sz w:val="21"/>
                <w:szCs w:val="21"/>
              </w:rPr>
            </w:pPr>
          </w:p>
        </w:tc>
        <w:tc>
          <w:tcPr>
            <w:tcW w:w="1260" w:type="dxa"/>
            <w:vAlign w:val="center"/>
          </w:tcPr>
          <w:p w14:paraId="74736F94">
            <w:pPr>
              <w:spacing w:line="500" w:lineRule="exact"/>
              <w:jc w:val="center"/>
              <w:rPr>
                <w:rFonts w:hint="eastAsia" w:ascii="宋体" w:hAnsi="宋体" w:cs="宋体"/>
                <w:sz w:val="21"/>
                <w:szCs w:val="21"/>
              </w:rPr>
            </w:pPr>
          </w:p>
        </w:tc>
        <w:tc>
          <w:tcPr>
            <w:tcW w:w="1620" w:type="dxa"/>
            <w:vAlign w:val="center"/>
          </w:tcPr>
          <w:p w14:paraId="0B8C8132">
            <w:pPr>
              <w:spacing w:line="500" w:lineRule="exact"/>
              <w:jc w:val="center"/>
              <w:rPr>
                <w:rFonts w:hint="eastAsia" w:ascii="宋体" w:hAnsi="宋体" w:cs="宋体"/>
                <w:sz w:val="21"/>
                <w:szCs w:val="21"/>
              </w:rPr>
            </w:pPr>
          </w:p>
        </w:tc>
        <w:tc>
          <w:tcPr>
            <w:tcW w:w="1620" w:type="dxa"/>
            <w:tcBorders>
              <w:left w:val="single" w:color="auto" w:sz="4" w:space="0"/>
              <w:right w:val="single" w:color="auto" w:sz="4" w:space="0"/>
            </w:tcBorders>
            <w:vAlign w:val="center"/>
          </w:tcPr>
          <w:p w14:paraId="28451B87">
            <w:pPr>
              <w:spacing w:line="500" w:lineRule="exact"/>
              <w:jc w:val="center"/>
              <w:rPr>
                <w:rFonts w:hint="eastAsia" w:ascii="宋体" w:hAnsi="宋体" w:cs="宋体"/>
                <w:sz w:val="21"/>
                <w:szCs w:val="21"/>
              </w:rPr>
            </w:pPr>
          </w:p>
        </w:tc>
        <w:tc>
          <w:tcPr>
            <w:tcW w:w="1341" w:type="dxa"/>
            <w:tcBorders>
              <w:left w:val="single" w:color="auto" w:sz="4" w:space="0"/>
            </w:tcBorders>
            <w:vAlign w:val="center"/>
          </w:tcPr>
          <w:p w14:paraId="7E3DE501">
            <w:pPr>
              <w:spacing w:line="500" w:lineRule="exact"/>
              <w:jc w:val="center"/>
              <w:rPr>
                <w:rFonts w:hint="eastAsia" w:ascii="宋体" w:hAnsi="宋体" w:cs="宋体"/>
                <w:sz w:val="21"/>
                <w:szCs w:val="21"/>
              </w:rPr>
            </w:pPr>
          </w:p>
        </w:tc>
      </w:tr>
      <w:tr w14:paraId="0B55FCA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0B6887C2">
            <w:pPr>
              <w:spacing w:line="500" w:lineRule="exact"/>
              <w:jc w:val="center"/>
              <w:rPr>
                <w:rFonts w:hint="eastAsia" w:ascii="宋体" w:hAnsi="宋体" w:cs="宋体"/>
                <w:sz w:val="21"/>
                <w:szCs w:val="21"/>
              </w:rPr>
            </w:pPr>
          </w:p>
        </w:tc>
        <w:tc>
          <w:tcPr>
            <w:tcW w:w="1239" w:type="dxa"/>
            <w:vAlign w:val="center"/>
          </w:tcPr>
          <w:p w14:paraId="442CD1ED">
            <w:pPr>
              <w:spacing w:line="500" w:lineRule="exact"/>
              <w:jc w:val="center"/>
              <w:rPr>
                <w:rFonts w:hint="eastAsia" w:ascii="宋体" w:hAnsi="宋体" w:cs="宋体"/>
                <w:sz w:val="21"/>
                <w:szCs w:val="21"/>
              </w:rPr>
            </w:pPr>
          </w:p>
        </w:tc>
        <w:tc>
          <w:tcPr>
            <w:tcW w:w="1260" w:type="dxa"/>
            <w:vAlign w:val="center"/>
          </w:tcPr>
          <w:p w14:paraId="067E50A3">
            <w:pPr>
              <w:spacing w:line="500" w:lineRule="exact"/>
              <w:jc w:val="center"/>
              <w:rPr>
                <w:rFonts w:hint="eastAsia" w:ascii="宋体" w:hAnsi="宋体" w:cs="宋体"/>
                <w:sz w:val="21"/>
                <w:szCs w:val="21"/>
              </w:rPr>
            </w:pPr>
          </w:p>
        </w:tc>
        <w:tc>
          <w:tcPr>
            <w:tcW w:w="1620" w:type="dxa"/>
            <w:vAlign w:val="center"/>
          </w:tcPr>
          <w:p w14:paraId="36E82108">
            <w:pPr>
              <w:spacing w:line="500" w:lineRule="exact"/>
              <w:jc w:val="center"/>
              <w:rPr>
                <w:rFonts w:hint="eastAsia" w:ascii="宋体" w:hAnsi="宋体" w:cs="宋体"/>
                <w:sz w:val="21"/>
                <w:szCs w:val="21"/>
              </w:rPr>
            </w:pPr>
          </w:p>
        </w:tc>
        <w:tc>
          <w:tcPr>
            <w:tcW w:w="1620" w:type="dxa"/>
            <w:tcBorders>
              <w:left w:val="single" w:color="auto" w:sz="4" w:space="0"/>
              <w:right w:val="single" w:color="auto" w:sz="4" w:space="0"/>
            </w:tcBorders>
            <w:vAlign w:val="center"/>
          </w:tcPr>
          <w:p w14:paraId="02480301">
            <w:pPr>
              <w:spacing w:line="500" w:lineRule="exact"/>
              <w:jc w:val="center"/>
              <w:rPr>
                <w:rFonts w:hint="eastAsia" w:ascii="宋体" w:hAnsi="宋体" w:cs="宋体"/>
                <w:sz w:val="21"/>
                <w:szCs w:val="21"/>
              </w:rPr>
            </w:pPr>
          </w:p>
        </w:tc>
        <w:tc>
          <w:tcPr>
            <w:tcW w:w="1341" w:type="dxa"/>
            <w:tcBorders>
              <w:left w:val="single" w:color="auto" w:sz="4" w:space="0"/>
            </w:tcBorders>
            <w:vAlign w:val="center"/>
          </w:tcPr>
          <w:p w14:paraId="1FA801B3">
            <w:pPr>
              <w:spacing w:line="500" w:lineRule="exact"/>
              <w:jc w:val="center"/>
              <w:rPr>
                <w:rFonts w:hint="eastAsia" w:ascii="宋体" w:hAnsi="宋体" w:cs="宋体"/>
                <w:sz w:val="21"/>
                <w:szCs w:val="21"/>
              </w:rPr>
            </w:pPr>
          </w:p>
        </w:tc>
      </w:tr>
      <w:tr w14:paraId="51260B9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10" w:hRule="atLeast"/>
          <w:jc w:val="center"/>
        </w:trPr>
        <w:tc>
          <w:tcPr>
            <w:tcW w:w="1094" w:type="dxa"/>
            <w:tcBorders>
              <w:bottom w:val="single" w:color="auto" w:sz="4" w:space="0"/>
            </w:tcBorders>
            <w:vAlign w:val="center"/>
          </w:tcPr>
          <w:p w14:paraId="7CCB8915">
            <w:pPr>
              <w:spacing w:line="500" w:lineRule="exact"/>
              <w:jc w:val="center"/>
              <w:rPr>
                <w:rFonts w:hint="eastAsia" w:ascii="宋体" w:hAnsi="宋体" w:cs="宋体"/>
                <w:sz w:val="21"/>
                <w:szCs w:val="21"/>
              </w:rPr>
            </w:pPr>
          </w:p>
        </w:tc>
        <w:tc>
          <w:tcPr>
            <w:tcW w:w="1239" w:type="dxa"/>
            <w:tcBorders>
              <w:bottom w:val="single" w:color="auto" w:sz="4" w:space="0"/>
            </w:tcBorders>
            <w:vAlign w:val="center"/>
          </w:tcPr>
          <w:p w14:paraId="2756DDB8">
            <w:pPr>
              <w:spacing w:line="500" w:lineRule="exact"/>
              <w:jc w:val="center"/>
              <w:rPr>
                <w:rFonts w:hint="eastAsia" w:ascii="宋体" w:hAnsi="宋体" w:cs="宋体"/>
                <w:sz w:val="21"/>
                <w:szCs w:val="21"/>
              </w:rPr>
            </w:pPr>
          </w:p>
        </w:tc>
        <w:tc>
          <w:tcPr>
            <w:tcW w:w="1260" w:type="dxa"/>
            <w:tcBorders>
              <w:bottom w:val="single" w:color="auto" w:sz="4" w:space="0"/>
            </w:tcBorders>
            <w:vAlign w:val="center"/>
          </w:tcPr>
          <w:p w14:paraId="4A84B5AF">
            <w:pPr>
              <w:spacing w:line="500" w:lineRule="exact"/>
              <w:jc w:val="center"/>
              <w:rPr>
                <w:rFonts w:hint="eastAsia" w:ascii="宋体" w:hAnsi="宋体" w:cs="宋体"/>
                <w:sz w:val="21"/>
                <w:szCs w:val="21"/>
              </w:rPr>
            </w:pPr>
          </w:p>
        </w:tc>
        <w:tc>
          <w:tcPr>
            <w:tcW w:w="1620" w:type="dxa"/>
            <w:tcBorders>
              <w:bottom w:val="single" w:color="auto" w:sz="4" w:space="0"/>
            </w:tcBorders>
            <w:vAlign w:val="center"/>
          </w:tcPr>
          <w:p w14:paraId="603ACC3F">
            <w:pPr>
              <w:spacing w:line="500" w:lineRule="exact"/>
              <w:jc w:val="center"/>
              <w:rPr>
                <w:rFonts w:hint="eastAsia" w:ascii="宋体" w:hAnsi="宋体" w:cs="宋体"/>
                <w:sz w:val="21"/>
                <w:szCs w:val="21"/>
              </w:rPr>
            </w:pPr>
          </w:p>
        </w:tc>
        <w:tc>
          <w:tcPr>
            <w:tcW w:w="1620" w:type="dxa"/>
            <w:tcBorders>
              <w:left w:val="single" w:color="auto" w:sz="4" w:space="0"/>
              <w:bottom w:val="single" w:color="auto" w:sz="4" w:space="0"/>
              <w:right w:val="single" w:color="auto" w:sz="4" w:space="0"/>
            </w:tcBorders>
            <w:vAlign w:val="center"/>
          </w:tcPr>
          <w:p w14:paraId="4ABA6647">
            <w:pPr>
              <w:spacing w:line="500" w:lineRule="exact"/>
              <w:jc w:val="center"/>
              <w:rPr>
                <w:rFonts w:hint="eastAsia" w:ascii="宋体" w:hAnsi="宋体" w:cs="宋体"/>
                <w:sz w:val="21"/>
                <w:szCs w:val="21"/>
              </w:rPr>
            </w:pPr>
          </w:p>
        </w:tc>
        <w:tc>
          <w:tcPr>
            <w:tcW w:w="1341" w:type="dxa"/>
            <w:tcBorders>
              <w:left w:val="single" w:color="auto" w:sz="4" w:space="0"/>
              <w:bottom w:val="single" w:color="auto" w:sz="4" w:space="0"/>
            </w:tcBorders>
            <w:vAlign w:val="center"/>
          </w:tcPr>
          <w:p w14:paraId="6BF28004">
            <w:pPr>
              <w:spacing w:line="500" w:lineRule="exact"/>
              <w:jc w:val="center"/>
              <w:rPr>
                <w:rFonts w:hint="eastAsia" w:ascii="宋体" w:hAnsi="宋体" w:cs="宋体"/>
                <w:sz w:val="21"/>
                <w:szCs w:val="21"/>
              </w:rPr>
            </w:pPr>
          </w:p>
        </w:tc>
      </w:tr>
      <w:tr w14:paraId="5B8CE2F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1094" w:type="dxa"/>
            <w:tcBorders>
              <w:top w:val="single" w:color="auto" w:sz="4" w:space="0"/>
              <w:bottom w:val="single" w:color="auto" w:sz="4" w:space="0"/>
            </w:tcBorders>
            <w:vAlign w:val="center"/>
          </w:tcPr>
          <w:p w14:paraId="3B96AC18">
            <w:pPr>
              <w:spacing w:line="500" w:lineRule="exact"/>
              <w:jc w:val="center"/>
              <w:rPr>
                <w:rFonts w:hint="eastAsia" w:ascii="宋体" w:hAnsi="宋体" w:cs="宋体"/>
                <w:sz w:val="21"/>
                <w:szCs w:val="21"/>
              </w:rPr>
            </w:pPr>
          </w:p>
        </w:tc>
        <w:tc>
          <w:tcPr>
            <w:tcW w:w="1239" w:type="dxa"/>
            <w:tcBorders>
              <w:top w:val="single" w:color="auto" w:sz="4" w:space="0"/>
              <w:bottom w:val="single" w:color="auto" w:sz="4" w:space="0"/>
            </w:tcBorders>
            <w:vAlign w:val="center"/>
          </w:tcPr>
          <w:p w14:paraId="1E54D635">
            <w:pPr>
              <w:spacing w:line="500" w:lineRule="exact"/>
              <w:jc w:val="center"/>
              <w:rPr>
                <w:rFonts w:hint="eastAsia" w:ascii="宋体" w:hAnsi="宋体" w:cs="宋体"/>
                <w:sz w:val="21"/>
                <w:szCs w:val="21"/>
              </w:rPr>
            </w:pPr>
          </w:p>
        </w:tc>
        <w:tc>
          <w:tcPr>
            <w:tcW w:w="1260" w:type="dxa"/>
            <w:tcBorders>
              <w:top w:val="single" w:color="auto" w:sz="4" w:space="0"/>
              <w:bottom w:val="single" w:color="auto" w:sz="4" w:space="0"/>
            </w:tcBorders>
            <w:vAlign w:val="center"/>
          </w:tcPr>
          <w:p w14:paraId="37AA7FA7">
            <w:pPr>
              <w:spacing w:line="500" w:lineRule="exact"/>
              <w:jc w:val="center"/>
              <w:rPr>
                <w:rFonts w:hint="eastAsia" w:ascii="宋体" w:hAnsi="宋体" w:cs="宋体"/>
                <w:sz w:val="21"/>
                <w:szCs w:val="21"/>
              </w:rPr>
            </w:pPr>
          </w:p>
        </w:tc>
        <w:tc>
          <w:tcPr>
            <w:tcW w:w="1620" w:type="dxa"/>
            <w:tcBorders>
              <w:top w:val="single" w:color="auto" w:sz="4" w:space="0"/>
              <w:bottom w:val="single" w:color="auto" w:sz="4" w:space="0"/>
            </w:tcBorders>
            <w:vAlign w:val="center"/>
          </w:tcPr>
          <w:p w14:paraId="22EFFFB0">
            <w:pPr>
              <w:spacing w:line="500" w:lineRule="exact"/>
              <w:jc w:val="center"/>
              <w:rPr>
                <w:rFonts w:hint="eastAsia" w:ascii="宋体" w:hAnsi="宋体" w:cs="宋体"/>
                <w:sz w:val="21"/>
                <w:szCs w:val="21"/>
              </w:rPr>
            </w:pPr>
          </w:p>
        </w:tc>
        <w:tc>
          <w:tcPr>
            <w:tcW w:w="1620" w:type="dxa"/>
            <w:tcBorders>
              <w:top w:val="single" w:color="auto" w:sz="4" w:space="0"/>
              <w:left w:val="single" w:color="auto" w:sz="4" w:space="0"/>
              <w:bottom w:val="single" w:color="auto" w:sz="4" w:space="0"/>
              <w:right w:val="single" w:color="auto" w:sz="4" w:space="0"/>
            </w:tcBorders>
            <w:vAlign w:val="center"/>
          </w:tcPr>
          <w:p w14:paraId="6C30CA7E">
            <w:pPr>
              <w:spacing w:line="500" w:lineRule="exact"/>
              <w:jc w:val="center"/>
              <w:rPr>
                <w:rFonts w:hint="eastAsia" w:ascii="宋体" w:hAnsi="宋体" w:cs="宋体"/>
                <w:sz w:val="21"/>
                <w:szCs w:val="21"/>
              </w:rPr>
            </w:pPr>
          </w:p>
        </w:tc>
        <w:tc>
          <w:tcPr>
            <w:tcW w:w="1341" w:type="dxa"/>
            <w:tcBorders>
              <w:top w:val="single" w:color="auto" w:sz="4" w:space="0"/>
              <w:left w:val="single" w:color="auto" w:sz="4" w:space="0"/>
              <w:bottom w:val="single" w:color="auto" w:sz="4" w:space="0"/>
            </w:tcBorders>
            <w:vAlign w:val="center"/>
          </w:tcPr>
          <w:p w14:paraId="26D52F86">
            <w:pPr>
              <w:spacing w:line="500" w:lineRule="exact"/>
              <w:jc w:val="center"/>
              <w:rPr>
                <w:rFonts w:hint="eastAsia" w:ascii="宋体" w:hAnsi="宋体" w:cs="宋体"/>
                <w:sz w:val="21"/>
                <w:szCs w:val="21"/>
              </w:rPr>
            </w:pPr>
          </w:p>
        </w:tc>
      </w:tr>
      <w:tr w14:paraId="4E837F6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1094" w:type="dxa"/>
            <w:tcBorders>
              <w:top w:val="single" w:color="auto" w:sz="4" w:space="0"/>
              <w:bottom w:val="single" w:color="auto" w:sz="4" w:space="0"/>
            </w:tcBorders>
            <w:vAlign w:val="center"/>
          </w:tcPr>
          <w:p w14:paraId="46EB51C1">
            <w:pPr>
              <w:spacing w:line="500" w:lineRule="exact"/>
              <w:jc w:val="center"/>
              <w:rPr>
                <w:rFonts w:hint="eastAsia" w:ascii="宋体" w:hAnsi="宋体" w:cs="宋体"/>
                <w:sz w:val="21"/>
                <w:szCs w:val="21"/>
              </w:rPr>
            </w:pPr>
          </w:p>
        </w:tc>
        <w:tc>
          <w:tcPr>
            <w:tcW w:w="1239" w:type="dxa"/>
            <w:tcBorders>
              <w:top w:val="single" w:color="auto" w:sz="4" w:space="0"/>
              <w:bottom w:val="single" w:color="auto" w:sz="4" w:space="0"/>
            </w:tcBorders>
            <w:vAlign w:val="center"/>
          </w:tcPr>
          <w:p w14:paraId="4CAC2BE9">
            <w:pPr>
              <w:spacing w:line="500" w:lineRule="exact"/>
              <w:jc w:val="center"/>
              <w:rPr>
                <w:rFonts w:hint="eastAsia" w:ascii="宋体" w:hAnsi="宋体" w:cs="宋体"/>
                <w:sz w:val="21"/>
                <w:szCs w:val="21"/>
              </w:rPr>
            </w:pPr>
          </w:p>
        </w:tc>
        <w:tc>
          <w:tcPr>
            <w:tcW w:w="1260" w:type="dxa"/>
            <w:tcBorders>
              <w:top w:val="single" w:color="auto" w:sz="4" w:space="0"/>
              <w:bottom w:val="single" w:color="auto" w:sz="4" w:space="0"/>
            </w:tcBorders>
            <w:vAlign w:val="center"/>
          </w:tcPr>
          <w:p w14:paraId="041D5879">
            <w:pPr>
              <w:spacing w:line="500" w:lineRule="exact"/>
              <w:jc w:val="center"/>
              <w:rPr>
                <w:rFonts w:hint="eastAsia" w:ascii="宋体" w:hAnsi="宋体" w:cs="宋体"/>
                <w:sz w:val="21"/>
                <w:szCs w:val="21"/>
              </w:rPr>
            </w:pPr>
          </w:p>
        </w:tc>
        <w:tc>
          <w:tcPr>
            <w:tcW w:w="1620" w:type="dxa"/>
            <w:tcBorders>
              <w:top w:val="single" w:color="auto" w:sz="4" w:space="0"/>
              <w:bottom w:val="single" w:color="auto" w:sz="4" w:space="0"/>
            </w:tcBorders>
            <w:vAlign w:val="center"/>
          </w:tcPr>
          <w:p w14:paraId="74D7D0BA">
            <w:pPr>
              <w:spacing w:line="500" w:lineRule="exact"/>
              <w:jc w:val="center"/>
              <w:rPr>
                <w:rFonts w:hint="eastAsia" w:ascii="宋体" w:hAnsi="宋体" w:cs="宋体"/>
                <w:sz w:val="21"/>
                <w:szCs w:val="21"/>
              </w:rPr>
            </w:pPr>
          </w:p>
        </w:tc>
        <w:tc>
          <w:tcPr>
            <w:tcW w:w="1620" w:type="dxa"/>
            <w:tcBorders>
              <w:top w:val="single" w:color="auto" w:sz="4" w:space="0"/>
              <w:left w:val="single" w:color="auto" w:sz="4" w:space="0"/>
              <w:bottom w:val="single" w:color="auto" w:sz="4" w:space="0"/>
              <w:right w:val="single" w:color="auto" w:sz="4" w:space="0"/>
            </w:tcBorders>
            <w:vAlign w:val="center"/>
          </w:tcPr>
          <w:p w14:paraId="166F674F">
            <w:pPr>
              <w:spacing w:line="500" w:lineRule="exact"/>
              <w:jc w:val="center"/>
              <w:rPr>
                <w:rFonts w:hint="eastAsia" w:ascii="宋体" w:hAnsi="宋体" w:cs="宋体"/>
                <w:sz w:val="21"/>
                <w:szCs w:val="21"/>
              </w:rPr>
            </w:pPr>
          </w:p>
        </w:tc>
        <w:tc>
          <w:tcPr>
            <w:tcW w:w="1341" w:type="dxa"/>
            <w:tcBorders>
              <w:top w:val="single" w:color="auto" w:sz="4" w:space="0"/>
              <w:left w:val="single" w:color="auto" w:sz="4" w:space="0"/>
              <w:bottom w:val="single" w:color="auto" w:sz="4" w:space="0"/>
            </w:tcBorders>
            <w:vAlign w:val="center"/>
          </w:tcPr>
          <w:p w14:paraId="4ADAFF5D">
            <w:pPr>
              <w:spacing w:line="500" w:lineRule="exact"/>
              <w:jc w:val="center"/>
              <w:rPr>
                <w:rFonts w:hint="eastAsia" w:ascii="宋体" w:hAnsi="宋体" w:cs="宋体"/>
                <w:sz w:val="21"/>
                <w:szCs w:val="21"/>
              </w:rPr>
            </w:pPr>
          </w:p>
        </w:tc>
      </w:tr>
      <w:tr w14:paraId="619EE21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50" w:hRule="atLeast"/>
          <w:jc w:val="center"/>
        </w:trPr>
        <w:tc>
          <w:tcPr>
            <w:tcW w:w="1094" w:type="dxa"/>
            <w:tcBorders>
              <w:top w:val="single" w:color="auto" w:sz="4" w:space="0"/>
              <w:bottom w:val="single" w:color="auto" w:sz="4" w:space="0"/>
            </w:tcBorders>
            <w:vAlign w:val="center"/>
          </w:tcPr>
          <w:p w14:paraId="25BC8757">
            <w:pPr>
              <w:spacing w:line="500" w:lineRule="exact"/>
              <w:jc w:val="center"/>
              <w:rPr>
                <w:rFonts w:hint="eastAsia" w:ascii="宋体" w:hAnsi="宋体" w:cs="宋体"/>
                <w:sz w:val="21"/>
                <w:szCs w:val="21"/>
              </w:rPr>
            </w:pPr>
          </w:p>
        </w:tc>
        <w:tc>
          <w:tcPr>
            <w:tcW w:w="1239" w:type="dxa"/>
            <w:tcBorders>
              <w:top w:val="single" w:color="auto" w:sz="4" w:space="0"/>
              <w:bottom w:val="single" w:color="auto" w:sz="4" w:space="0"/>
            </w:tcBorders>
            <w:vAlign w:val="center"/>
          </w:tcPr>
          <w:p w14:paraId="4CA0C90E">
            <w:pPr>
              <w:spacing w:line="500" w:lineRule="exact"/>
              <w:jc w:val="center"/>
              <w:rPr>
                <w:rFonts w:hint="eastAsia" w:ascii="宋体" w:hAnsi="宋体" w:cs="宋体"/>
                <w:sz w:val="21"/>
                <w:szCs w:val="21"/>
              </w:rPr>
            </w:pPr>
          </w:p>
        </w:tc>
        <w:tc>
          <w:tcPr>
            <w:tcW w:w="1260" w:type="dxa"/>
            <w:tcBorders>
              <w:top w:val="single" w:color="auto" w:sz="4" w:space="0"/>
              <w:bottom w:val="single" w:color="auto" w:sz="4" w:space="0"/>
            </w:tcBorders>
            <w:vAlign w:val="center"/>
          </w:tcPr>
          <w:p w14:paraId="4F4DFD9E">
            <w:pPr>
              <w:spacing w:line="500" w:lineRule="exact"/>
              <w:jc w:val="center"/>
              <w:rPr>
                <w:rFonts w:hint="eastAsia" w:ascii="宋体" w:hAnsi="宋体" w:cs="宋体"/>
                <w:sz w:val="21"/>
                <w:szCs w:val="21"/>
              </w:rPr>
            </w:pPr>
          </w:p>
        </w:tc>
        <w:tc>
          <w:tcPr>
            <w:tcW w:w="1620" w:type="dxa"/>
            <w:tcBorders>
              <w:top w:val="single" w:color="auto" w:sz="4" w:space="0"/>
              <w:bottom w:val="single" w:color="auto" w:sz="4" w:space="0"/>
            </w:tcBorders>
            <w:vAlign w:val="center"/>
          </w:tcPr>
          <w:p w14:paraId="7E0786F0">
            <w:pPr>
              <w:spacing w:line="500" w:lineRule="exact"/>
              <w:jc w:val="center"/>
              <w:rPr>
                <w:rFonts w:hint="eastAsia" w:ascii="宋体" w:hAnsi="宋体" w:cs="宋体"/>
                <w:sz w:val="21"/>
                <w:szCs w:val="21"/>
              </w:rPr>
            </w:pPr>
          </w:p>
        </w:tc>
        <w:tc>
          <w:tcPr>
            <w:tcW w:w="1620" w:type="dxa"/>
            <w:tcBorders>
              <w:top w:val="single" w:color="auto" w:sz="4" w:space="0"/>
              <w:left w:val="single" w:color="auto" w:sz="4" w:space="0"/>
              <w:bottom w:val="single" w:color="auto" w:sz="4" w:space="0"/>
              <w:right w:val="single" w:color="auto" w:sz="4" w:space="0"/>
            </w:tcBorders>
            <w:vAlign w:val="center"/>
          </w:tcPr>
          <w:p w14:paraId="01D09EA6">
            <w:pPr>
              <w:spacing w:line="500" w:lineRule="exact"/>
              <w:jc w:val="center"/>
              <w:rPr>
                <w:rFonts w:hint="eastAsia" w:ascii="宋体" w:hAnsi="宋体" w:cs="宋体"/>
                <w:sz w:val="21"/>
                <w:szCs w:val="21"/>
              </w:rPr>
            </w:pPr>
          </w:p>
        </w:tc>
        <w:tc>
          <w:tcPr>
            <w:tcW w:w="1341" w:type="dxa"/>
            <w:tcBorders>
              <w:top w:val="single" w:color="auto" w:sz="4" w:space="0"/>
              <w:left w:val="single" w:color="auto" w:sz="4" w:space="0"/>
              <w:bottom w:val="single" w:color="auto" w:sz="4" w:space="0"/>
            </w:tcBorders>
            <w:vAlign w:val="center"/>
          </w:tcPr>
          <w:p w14:paraId="3B630AB7">
            <w:pPr>
              <w:spacing w:line="500" w:lineRule="exact"/>
              <w:jc w:val="center"/>
              <w:rPr>
                <w:rFonts w:hint="eastAsia" w:ascii="宋体" w:hAnsi="宋体" w:cs="宋体"/>
                <w:sz w:val="21"/>
                <w:szCs w:val="21"/>
              </w:rPr>
            </w:pPr>
          </w:p>
        </w:tc>
      </w:tr>
      <w:tr w14:paraId="747DA8A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35" w:hRule="atLeast"/>
          <w:jc w:val="center"/>
        </w:trPr>
        <w:tc>
          <w:tcPr>
            <w:tcW w:w="1094" w:type="dxa"/>
            <w:tcBorders>
              <w:top w:val="single" w:color="auto" w:sz="4" w:space="0"/>
            </w:tcBorders>
            <w:vAlign w:val="center"/>
          </w:tcPr>
          <w:p w14:paraId="2754E533">
            <w:pPr>
              <w:spacing w:line="500" w:lineRule="exact"/>
              <w:jc w:val="center"/>
              <w:rPr>
                <w:rFonts w:hint="eastAsia" w:ascii="宋体" w:hAnsi="宋体" w:cs="宋体"/>
                <w:sz w:val="21"/>
                <w:szCs w:val="21"/>
              </w:rPr>
            </w:pPr>
          </w:p>
        </w:tc>
        <w:tc>
          <w:tcPr>
            <w:tcW w:w="1239" w:type="dxa"/>
            <w:tcBorders>
              <w:top w:val="single" w:color="auto" w:sz="4" w:space="0"/>
            </w:tcBorders>
            <w:vAlign w:val="center"/>
          </w:tcPr>
          <w:p w14:paraId="7EE9A2A0">
            <w:pPr>
              <w:spacing w:line="500" w:lineRule="exact"/>
              <w:jc w:val="center"/>
              <w:rPr>
                <w:rFonts w:hint="eastAsia" w:ascii="宋体" w:hAnsi="宋体" w:cs="宋体"/>
                <w:sz w:val="21"/>
                <w:szCs w:val="21"/>
              </w:rPr>
            </w:pPr>
          </w:p>
        </w:tc>
        <w:tc>
          <w:tcPr>
            <w:tcW w:w="1260" w:type="dxa"/>
            <w:tcBorders>
              <w:top w:val="single" w:color="auto" w:sz="4" w:space="0"/>
            </w:tcBorders>
            <w:vAlign w:val="center"/>
          </w:tcPr>
          <w:p w14:paraId="6410D0CE">
            <w:pPr>
              <w:spacing w:line="500" w:lineRule="exact"/>
              <w:jc w:val="center"/>
              <w:rPr>
                <w:rFonts w:hint="eastAsia" w:ascii="宋体" w:hAnsi="宋体" w:cs="宋体"/>
                <w:sz w:val="21"/>
                <w:szCs w:val="21"/>
              </w:rPr>
            </w:pPr>
          </w:p>
        </w:tc>
        <w:tc>
          <w:tcPr>
            <w:tcW w:w="1620" w:type="dxa"/>
            <w:tcBorders>
              <w:top w:val="single" w:color="auto" w:sz="4" w:space="0"/>
            </w:tcBorders>
            <w:vAlign w:val="center"/>
          </w:tcPr>
          <w:p w14:paraId="74275243">
            <w:pPr>
              <w:spacing w:line="500" w:lineRule="exact"/>
              <w:jc w:val="center"/>
              <w:rPr>
                <w:rFonts w:hint="eastAsia" w:ascii="宋体" w:hAnsi="宋体" w:cs="宋体"/>
                <w:sz w:val="21"/>
                <w:szCs w:val="21"/>
              </w:rPr>
            </w:pPr>
          </w:p>
        </w:tc>
        <w:tc>
          <w:tcPr>
            <w:tcW w:w="1620" w:type="dxa"/>
            <w:tcBorders>
              <w:top w:val="single" w:color="auto" w:sz="4" w:space="0"/>
              <w:left w:val="single" w:color="auto" w:sz="4" w:space="0"/>
              <w:right w:val="single" w:color="auto" w:sz="4" w:space="0"/>
            </w:tcBorders>
            <w:vAlign w:val="center"/>
          </w:tcPr>
          <w:p w14:paraId="238BD5F8">
            <w:pPr>
              <w:spacing w:line="500" w:lineRule="exact"/>
              <w:jc w:val="center"/>
              <w:rPr>
                <w:rFonts w:hint="eastAsia" w:ascii="宋体" w:hAnsi="宋体" w:cs="宋体"/>
                <w:sz w:val="21"/>
                <w:szCs w:val="21"/>
              </w:rPr>
            </w:pPr>
          </w:p>
        </w:tc>
        <w:tc>
          <w:tcPr>
            <w:tcW w:w="1341" w:type="dxa"/>
            <w:tcBorders>
              <w:top w:val="single" w:color="auto" w:sz="4" w:space="0"/>
              <w:left w:val="single" w:color="auto" w:sz="4" w:space="0"/>
            </w:tcBorders>
            <w:vAlign w:val="center"/>
          </w:tcPr>
          <w:p w14:paraId="469C47DC">
            <w:pPr>
              <w:spacing w:line="500" w:lineRule="exact"/>
              <w:jc w:val="center"/>
              <w:rPr>
                <w:rFonts w:hint="eastAsia" w:ascii="宋体" w:hAnsi="宋体" w:cs="宋体"/>
                <w:sz w:val="21"/>
                <w:szCs w:val="21"/>
              </w:rPr>
            </w:pPr>
          </w:p>
        </w:tc>
      </w:tr>
    </w:tbl>
    <w:p w14:paraId="13BCC1F4">
      <w:pPr>
        <w:spacing w:line="400" w:lineRule="exact"/>
        <w:rPr>
          <w:rFonts w:hint="eastAsia" w:ascii="仿宋" w:hAnsi="仿宋" w:eastAsia="仿宋" w:cs="仿宋"/>
          <w:sz w:val="28"/>
          <w:szCs w:val="28"/>
        </w:rPr>
      </w:pPr>
      <w:r>
        <w:rPr>
          <w:rFonts w:hint="eastAsia" w:ascii="仿宋" w:hAnsi="仿宋" w:eastAsia="仿宋" w:cs="仿宋"/>
          <w:b/>
          <w:sz w:val="28"/>
          <w:szCs w:val="28"/>
        </w:rPr>
        <w:t>注：</w:t>
      </w:r>
      <w:r>
        <w:rPr>
          <w:rFonts w:hint="eastAsia" w:ascii="仿宋" w:hAnsi="仿宋" w:eastAsia="仿宋" w:cs="仿宋"/>
          <w:sz w:val="28"/>
          <w:szCs w:val="28"/>
        </w:rPr>
        <w:t>投标人以上业绩需提供有关书面证明材料。</w:t>
      </w:r>
    </w:p>
    <w:p w14:paraId="4B695DAB">
      <w:pPr>
        <w:spacing w:line="400" w:lineRule="exact"/>
        <w:ind w:firstLine="210" w:firstLineChars="75"/>
        <w:rPr>
          <w:rFonts w:hint="eastAsia" w:ascii="仿宋" w:hAnsi="仿宋" w:eastAsia="仿宋" w:cs="仿宋"/>
          <w:sz w:val="28"/>
          <w:szCs w:val="28"/>
        </w:rPr>
      </w:pPr>
    </w:p>
    <w:p w14:paraId="243B5385">
      <w:pPr>
        <w:spacing w:line="400" w:lineRule="exact"/>
        <w:ind w:firstLine="210" w:firstLineChars="75"/>
        <w:rPr>
          <w:rFonts w:hint="eastAsia" w:ascii="仿宋" w:hAnsi="仿宋" w:eastAsia="仿宋" w:cs="仿宋"/>
          <w:sz w:val="28"/>
          <w:szCs w:val="28"/>
        </w:rPr>
      </w:pPr>
    </w:p>
    <w:p w14:paraId="12FFEC76">
      <w:pPr>
        <w:spacing w:line="360" w:lineRule="exact"/>
        <w:rPr>
          <w:rFonts w:hint="eastAsia" w:ascii="仿宋" w:hAnsi="仿宋" w:eastAsia="仿宋" w:cs="仿宋"/>
          <w:sz w:val="28"/>
          <w:szCs w:val="28"/>
        </w:rPr>
      </w:pPr>
      <w:r>
        <w:rPr>
          <w:rFonts w:hint="eastAsia" w:ascii="仿宋" w:hAnsi="仿宋" w:eastAsia="仿宋" w:cs="仿宋"/>
          <w:sz w:val="28"/>
          <w:szCs w:val="28"/>
        </w:rPr>
        <w:t>投标人名称：         （盖章）</w:t>
      </w:r>
    </w:p>
    <w:p w14:paraId="7F1F27DB">
      <w:pPr>
        <w:spacing w:line="500" w:lineRule="exact"/>
        <w:rPr>
          <w:rFonts w:hint="eastAsia" w:ascii="仿宋" w:hAnsi="仿宋" w:eastAsia="仿宋" w:cs="仿宋"/>
          <w:sz w:val="28"/>
          <w:szCs w:val="28"/>
        </w:rPr>
      </w:pPr>
      <w:r>
        <w:rPr>
          <w:rFonts w:hint="eastAsia" w:ascii="仿宋" w:hAnsi="仿宋" w:eastAsia="仿宋" w:cs="仿宋"/>
          <w:sz w:val="28"/>
          <w:szCs w:val="28"/>
        </w:rPr>
        <w:t>法定代表人或授权代表（签字）</w:t>
      </w:r>
      <w:r>
        <w:rPr>
          <w:rFonts w:hint="eastAsia" w:ascii="仿宋" w:hAnsi="仿宋" w:eastAsia="仿宋" w:cs="仿宋"/>
          <w:bCs/>
          <w:sz w:val="28"/>
          <w:szCs w:val="28"/>
        </w:rPr>
        <w:t>：</w:t>
      </w:r>
    </w:p>
    <w:p w14:paraId="2B1CCBA2">
      <w:pPr>
        <w:spacing w:line="500" w:lineRule="exact"/>
        <w:rPr>
          <w:rFonts w:hint="eastAsia" w:asciiTheme="minorEastAsia" w:hAnsiTheme="minorEastAsia" w:eastAsiaTheme="minorEastAsia"/>
          <w:b/>
          <w:sz w:val="28"/>
          <w:szCs w:val="28"/>
        </w:rPr>
        <w:sectPr>
          <w:pgSz w:w="11906" w:h="16838"/>
          <w:pgMar w:top="1440" w:right="1841" w:bottom="1440" w:left="1800" w:header="851" w:footer="992" w:gutter="0"/>
          <w:pgNumType w:fmt="decimal"/>
          <w:cols w:space="425" w:num="1"/>
          <w:docGrid w:linePitch="312" w:charSpace="0"/>
        </w:sectPr>
      </w:pPr>
      <w:r>
        <w:rPr>
          <w:rFonts w:hint="eastAsia" w:ascii="仿宋" w:hAnsi="仿宋" w:eastAsia="仿宋" w:cs="仿宋"/>
          <w:bCs/>
          <w:sz w:val="28"/>
          <w:szCs w:val="28"/>
        </w:rPr>
        <w:t>投标日期:</w:t>
      </w:r>
    </w:p>
    <w:p w14:paraId="2F40E028">
      <w:pPr>
        <w:rPr>
          <w:rFonts w:hint="eastAsia" w:asciiTheme="minorEastAsia" w:hAnsiTheme="minorEastAsia" w:eastAsiaTheme="minorEastAsia"/>
          <w:sz w:val="18"/>
          <w:szCs w:val="18"/>
        </w:rPr>
      </w:pPr>
    </w:p>
    <w:p w14:paraId="66E43CF0">
      <w:pPr>
        <w:snapToGrid w:val="0"/>
        <w:spacing w:line="500" w:lineRule="exact"/>
        <w:ind w:firstLine="275" w:firstLineChars="98"/>
        <w:rPr>
          <w:rFonts w:hint="eastAsia" w:ascii="仿宋" w:hAnsi="仿宋" w:eastAsia="仿宋" w:cs="仿宋"/>
          <w:b/>
          <w:sz w:val="28"/>
          <w:szCs w:val="28"/>
        </w:rPr>
      </w:pPr>
      <w:r>
        <w:rPr>
          <w:rFonts w:hint="eastAsia" w:ascii="仿宋" w:hAnsi="仿宋" w:eastAsia="仿宋" w:cs="仿宋"/>
          <w:b/>
          <w:sz w:val="28"/>
          <w:szCs w:val="28"/>
        </w:rPr>
        <w:t>八、近三年财务报表</w:t>
      </w:r>
      <w:r>
        <w:rPr>
          <w:rFonts w:ascii="Times New Roman" w:hAnsi="Times New Roman" w:eastAsia="方正仿宋_GBK" w:cs="Times New Roman"/>
          <w:sz w:val="32"/>
          <w:szCs w:val="32"/>
        </w:rPr>
        <w:t>（包括资产负债表、利润表和现金流量表）</w:t>
      </w:r>
    </w:p>
    <w:p w14:paraId="5D02BE4B">
      <w:pPr>
        <w:widowControl/>
        <w:rPr>
          <w:rFonts w:hint="eastAsia" w:ascii="仿宋" w:hAnsi="仿宋" w:eastAsia="仿宋" w:cs="仿宋"/>
          <w:b/>
          <w:bCs/>
          <w:kern w:val="0"/>
          <w:sz w:val="28"/>
          <w:szCs w:val="28"/>
        </w:rPr>
      </w:pPr>
    </w:p>
    <w:p w14:paraId="1DE640AD">
      <w:pPr>
        <w:snapToGrid w:val="0"/>
        <w:spacing w:line="520" w:lineRule="exact"/>
        <w:ind w:left="481" w:leftChars="86" w:hanging="275" w:hangingChars="98"/>
        <w:rPr>
          <w:rFonts w:hint="eastAsia" w:ascii="仿宋" w:hAnsi="仿宋" w:eastAsia="仿宋" w:cs="仿宋"/>
          <w:b/>
          <w:bCs/>
          <w:kern w:val="0"/>
          <w:sz w:val="28"/>
          <w:szCs w:val="28"/>
        </w:rPr>
      </w:pPr>
      <w:r>
        <w:rPr>
          <w:rFonts w:hint="eastAsia" w:ascii="仿宋" w:hAnsi="仿宋" w:eastAsia="仿宋" w:cs="仿宋"/>
          <w:b/>
          <w:bCs/>
          <w:kern w:val="0"/>
          <w:sz w:val="28"/>
          <w:szCs w:val="28"/>
        </w:rPr>
        <w:t xml:space="preserve">（根据招标要求由投标人自行编写） </w:t>
      </w:r>
    </w:p>
    <w:p w14:paraId="595A4C7E">
      <w:pPr>
        <w:rPr>
          <w:rFonts w:hint="eastAsia" w:ascii="仿宋" w:hAnsi="仿宋" w:eastAsia="仿宋" w:cs="仿宋"/>
          <w:b/>
          <w:bCs/>
          <w:kern w:val="0"/>
          <w:sz w:val="28"/>
          <w:szCs w:val="28"/>
        </w:rPr>
      </w:pPr>
      <w:r>
        <w:rPr>
          <w:rFonts w:hint="eastAsia" w:ascii="仿宋" w:hAnsi="仿宋" w:eastAsia="仿宋" w:cs="仿宋"/>
          <w:b/>
          <w:bCs/>
          <w:kern w:val="0"/>
          <w:sz w:val="28"/>
          <w:szCs w:val="28"/>
        </w:rPr>
        <w:br w:type="page"/>
      </w:r>
    </w:p>
    <w:p w14:paraId="2E2CEFAC">
      <w:pPr>
        <w:snapToGrid w:val="0"/>
        <w:spacing w:line="500" w:lineRule="exact"/>
        <w:ind w:firstLine="275" w:firstLineChars="98"/>
        <w:rPr>
          <w:rFonts w:hint="eastAsia" w:ascii="仿宋" w:hAnsi="仿宋" w:eastAsia="仿宋" w:cs="仿宋"/>
          <w:b/>
          <w:sz w:val="28"/>
          <w:szCs w:val="28"/>
        </w:rPr>
      </w:pPr>
      <w:r>
        <w:rPr>
          <w:rFonts w:hint="eastAsia" w:ascii="仿宋" w:hAnsi="仿宋" w:eastAsia="仿宋" w:cs="仿宋"/>
          <w:b/>
          <w:sz w:val="28"/>
          <w:szCs w:val="28"/>
        </w:rPr>
        <w:t>九、近三年的纳税及员工社保缴纳证明</w:t>
      </w:r>
    </w:p>
    <w:p w14:paraId="6EAB7B32">
      <w:pPr>
        <w:snapToGrid w:val="0"/>
        <w:spacing w:line="520" w:lineRule="exact"/>
        <w:rPr>
          <w:rFonts w:hint="eastAsia" w:asciiTheme="minorEastAsia" w:hAnsiTheme="minorEastAsia" w:eastAsiaTheme="minorEastAsia"/>
          <w:sz w:val="18"/>
          <w:szCs w:val="18"/>
        </w:rPr>
      </w:pPr>
    </w:p>
    <w:p w14:paraId="297A54B3">
      <w:pPr>
        <w:snapToGrid w:val="0"/>
        <w:spacing w:line="520" w:lineRule="exact"/>
        <w:ind w:left="382" w:leftChars="86" w:hanging="176" w:hangingChars="98"/>
        <w:rPr>
          <w:rFonts w:hint="eastAsia" w:asciiTheme="minorEastAsia" w:hAnsiTheme="minorEastAsia" w:eastAsiaTheme="minorEastAsia"/>
          <w:sz w:val="18"/>
          <w:szCs w:val="18"/>
        </w:rPr>
      </w:pPr>
    </w:p>
    <w:p w14:paraId="5ACFF6A9">
      <w:pPr>
        <w:snapToGrid w:val="0"/>
        <w:spacing w:line="520" w:lineRule="exact"/>
        <w:ind w:left="382" w:leftChars="86" w:hanging="176" w:hangingChars="98"/>
        <w:rPr>
          <w:rFonts w:hint="eastAsia" w:asciiTheme="minorEastAsia" w:hAnsiTheme="minorEastAsia" w:eastAsiaTheme="minorEastAsia"/>
          <w:sz w:val="18"/>
          <w:szCs w:val="18"/>
        </w:rPr>
      </w:pPr>
    </w:p>
    <w:p w14:paraId="2B02812E">
      <w:pPr>
        <w:snapToGrid w:val="0"/>
        <w:spacing w:line="520" w:lineRule="exact"/>
        <w:ind w:left="382" w:leftChars="86" w:hanging="176" w:hangingChars="98"/>
        <w:rPr>
          <w:rFonts w:hint="eastAsia" w:asciiTheme="minorEastAsia" w:hAnsiTheme="minorEastAsia" w:eastAsiaTheme="minorEastAsia"/>
          <w:sz w:val="18"/>
          <w:szCs w:val="18"/>
        </w:rPr>
      </w:pPr>
    </w:p>
    <w:p w14:paraId="2AF5F762">
      <w:pPr>
        <w:snapToGrid w:val="0"/>
        <w:spacing w:line="520" w:lineRule="exact"/>
        <w:ind w:left="382" w:leftChars="86" w:hanging="176" w:hangingChars="98"/>
        <w:rPr>
          <w:rFonts w:hint="eastAsia" w:asciiTheme="minorEastAsia" w:hAnsiTheme="minorEastAsia" w:eastAsiaTheme="minorEastAsia"/>
          <w:sz w:val="18"/>
          <w:szCs w:val="18"/>
        </w:rPr>
      </w:pPr>
    </w:p>
    <w:p w14:paraId="03EDB606">
      <w:pPr>
        <w:snapToGrid w:val="0"/>
        <w:spacing w:line="520" w:lineRule="exact"/>
        <w:ind w:left="382" w:leftChars="86" w:hanging="176" w:hangingChars="98"/>
        <w:rPr>
          <w:rFonts w:hint="eastAsia" w:asciiTheme="minorEastAsia" w:hAnsiTheme="minorEastAsia" w:eastAsiaTheme="minorEastAsia"/>
          <w:sz w:val="18"/>
          <w:szCs w:val="18"/>
        </w:rPr>
      </w:pPr>
    </w:p>
    <w:p w14:paraId="5FCA297B">
      <w:pPr>
        <w:snapToGrid w:val="0"/>
        <w:spacing w:line="520" w:lineRule="exact"/>
        <w:ind w:left="382" w:leftChars="86" w:hanging="176" w:hangingChars="98"/>
        <w:rPr>
          <w:rFonts w:hint="eastAsia" w:asciiTheme="minorEastAsia" w:hAnsiTheme="minorEastAsia" w:eastAsiaTheme="minorEastAsia"/>
          <w:sz w:val="18"/>
          <w:szCs w:val="18"/>
        </w:rPr>
      </w:pPr>
    </w:p>
    <w:p w14:paraId="33DB6D98">
      <w:pPr>
        <w:snapToGrid w:val="0"/>
        <w:spacing w:line="520" w:lineRule="exact"/>
        <w:ind w:left="382" w:leftChars="86" w:hanging="176" w:hangingChars="98"/>
        <w:rPr>
          <w:rFonts w:hint="eastAsia" w:asciiTheme="minorEastAsia" w:hAnsiTheme="minorEastAsia" w:eastAsiaTheme="minorEastAsia"/>
          <w:sz w:val="18"/>
          <w:szCs w:val="18"/>
        </w:rPr>
      </w:pPr>
    </w:p>
    <w:p w14:paraId="4E8E3FC9">
      <w:pPr>
        <w:snapToGrid w:val="0"/>
        <w:spacing w:line="520" w:lineRule="exact"/>
        <w:ind w:left="382" w:leftChars="86" w:hanging="176" w:hangingChars="98"/>
        <w:rPr>
          <w:rFonts w:hint="eastAsia" w:asciiTheme="minorEastAsia" w:hAnsiTheme="minorEastAsia" w:eastAsiaTheme="minorEastAsia"/>
          <w:sz w:val="18"/>
          <w:szCs w:val="18"/>
        </w:rPr>
      </w:pPr>
    </w:p>
    <w:p w14:paraId="26E772D5">
      <w:pPr>
        <w:snapToGrid w:val="0"/>
        <w:spacing w:line="520" w:lineRule="exact"/>
        <w:ind w:left="382" w:leftChars="86" w:hanging="176" w:hangingChars="98"/>
        <w:rPr>
          <w:rFonts w:hint="eastAsia" w:asciiTheme="minorEastAsia" w:hAnsiTheme="minorEastAsia" w:eastAsiaTheme="minorEastAsia"/>
          <w:sz w:val="18"/>
          <w:szCs w:val="18"/>
        </w:rPr>
      </w:pPr>
    </w:p>
    <w:p w14:paraId="75B2A35F">
      <w:pPr>
        <w:snapToGrid w:val="0"/>
        <w:spacing w:line="520" w:lineRule="exact"/>
        <w:ind w:left="382" w:leftChars="86" w:hanging="176" w:hangingChars="98"/>
        <w:rPr>
          <w:rFonts w:hint="eastAsia" w:asciiTheme="minorEastAsia" w:hAnsiTheme="minorEastAsia" w:eastAsiaTheme="minorEastAsia"/>
          <w:sz w:val="18"/>
          <w:szCs w:val="18"/>
        </w:rPr>
      </w:pPr>
    </w:p>
    <w:p w14:paraId="11A86BE9">
      <w:pPr>
        <w:snapToGrid w:val="0"/>
        <w:spacing w:line="520" w:lineRule="exact"/>
        <w:ind w:left="382" w:leftChars="86" w:hanging="176" w:hangingChars="98"/>
        <w:rPr>
          <w:rFonts w:hint="eastAsia" w:asciiTheme="minorEastAsia" w:hAnsiTheme="minorEastAsia" w:eastAsiaTheme="minorEastAsia"/>
          <w:sz w:val="18"/>
          <w:szCs w:val="18"/>
        </w:rPr>
      </w:pPr>
    </w:p>
    <w:p w14:paraId="27AB7CBD">
      <w:pPr>
        <w:snapToGrid w:val="0"/>
        <w:spacing w:line="520" w:lineRule="exact"/>
        <w:ind w:left="382" w:leftChars="86" w:hanging="176" w:hangingChars="98"/>
        <w:rPr>
          <w:rFonts w:hint="eastAsia" w:asciiTheme="minorEastAsia" w:hAnsiTheme="minorEastAsia" w:eastAsiaTheme="minorEastAsia"/>
          <w:sz w:val="18"/>
          <w:szCs w:val="18"/>
        </w:rPr>
      </w:pPr>
    </w:p>
    <w:p w14:paraId="54122305">
      <w:pPr>
        <w:snapToGrid w:val="0"/>
        <w:spacing w:line="520" w:lineRule="exact"/>
        <w:ind w:left="382" w:leftChars="86" w:hanging="176" w:hangingChars="98"/>
        <w:rPr>
          <w:rFonts w:hint="eastAsia" w:asciiTheme="minorEastAsia" w:hAnsiTheme="minorEastAsia" w:eastAsiaTheme="minorEastAsia"/>
          <w:sz w:val="18"/>
          <w:szCs w:val="18"/>
        </w:rPr>
      </w:pPr>
    </w:p>
    <w:p w14:paraId="04CB7475">
      <w:pPr>
        <w:snapToGrid w:val="0"/>
        <w:spacing w:line="520" w:lineRule="exact"/>
        <w:ind w:left="382" w:leftChars="86" w:hanging="176" w:hangingChars="98"/>
        <w:rPr>
          <w:rFonts w:hint="eastAsia" w:asciiTheme="minorEastAsia" w:hAnsiTheme="minorEastAsia" w:eastAsiaTheme="minorEastAsia"/>
          <w:sz w:val="18"/>
          <w:szCs w:val="18"/>
        </w:rPr>
      </w:pPr>
    </w:p>
    <w:p w14:paraId="04A71960">
      <w:pPr>
        <w:snapToGrid w:val="0"/>
        <w:spacing w:line="520" w:lineRule="exact"/>
        <w:ind w:left="382" w:leftChars="86" w:hanging="176" w:hangingChars="98"/>
        <w:rPr>
          <w:rFonts w:hint="eastAsia" w:asciiTheme="minorEastAsia" w:hAnsiTheme="minorEastAsia" w:eastAsiaTheme="minorEastAsia"/>
          <w:sz w:val="18"/>
          <w:szCs w:val="18"/>
        </w:rPr>
      </w:pPr>
    </w:p>
    <w:p w14:paraId="62A471B9">
      <w:pPr>
        <w:snapToGrid w:val="0"/>
        <w:spacing w:line="520" w:lineRule="exact"/>
        <w:ind w:left="382" w:leftChars="86" w:hanging="176" w:hangingChars="98"/>
        <w:rPr>
          <w:rFonts w:hint="eastAsia" w:asciiTheme="minorEastAsia" w:hAnsiTheme="minorEastAsia" w:eastAsiaTheme="minorEastAsia"/>
          <w:sz w:val="18"/>
          <w:szCs w:val="18"/>
        </w:rPr>
      </w:pPr>
    </w:p>
    <w:p w14:paraId="4F340775">
      <w:pPr>
        <w:snapToGrid w:val="0"/>
        <w:spacing w:line="520" w:lineRule="exact"/>
        <w:ind w:left="382" w:leftChars="86" w:hanging="176" w:hangingChars="98"/>
        <w:rPr>
          <w:rFonts w:hint="eastAsia" w:asciiTheme="minorEastAsia" w:hAnsiTheme="minorEastAsia" w:eastAsiaTheme="minorEastAsia"/>
          <w:sz w:val="18"/>
          <w:szCs w:val="18"/>
        </w:rPr>
      </w:pPr>
    </w:p>
    <w:p w14:paraId="3829F34A">
      <w:pPr>
        <w:snapToGrid w:val="0"/>
        <w:spacing w:line="520" w:lineRule="exact"/>
        <w:ind w:left="382" w:leftChars="86" w:hanging="176" w:hangingChars="98"/>
        <w:rPr>
          <w:rFonts w:hint="eastAsia" w:asciiTheme="minorEastAsia" w:hAnsiTheme="minorEastAsia" w:eastAsiaTheme="minorEastAsia"/>
          <w:sz w:val="18"/>
          <w:szCs w:val="18"/>
        </w:rPr>
      </w:pPr>
    </w:p>
    <w:p w14:paraId="46D184F7">
      <w:pPr>
        <w:snapToGrid w:val="0"/>
        <w:spacing w:line="520" w:lineRule="exact"/>
        <w:ind w:left="382" w:leftChars="86" w:hanging="176" w:hangingChars="98"/>
        <w:rPr>
          <w:rFonts w:hint="eastAsia" w:asciiTheme="minorEastAsia" w:hAnsiTheme="minorEastAsia" w:eastAsiaTheme="minorEastAsia"/>
          <w:sz w:val="18"/>
          <w:szCs w:val="18"/>
        </w:rPr>
      </w:pPr>
    </w:p>
    <w:p w14:paraId="489A0A68">
      <w:pPr>
        <w:snapToGrid w:val="0"/>
        <w:spacing w:line="520" w:lineRule="exact"/>
        <w:ind w:left="382" w:leftChars="86" w:hanging="176" w:hangingChars="98"/>
        <w:rPr>
          <w:rFonts w:hint="eastAsia" w:asciiTheme="minorEastAsia" w:hAnsiTheme="minorEastAsia" w:eastAsiaTheme="minorEastAsia"/>
          <w:sz w:val="18"/>
          <w:szCs w:val="18"/>
        </w:rPr>
      </w:pPr>
    </w:p>
    <w:p w14:paraId="78BC851A">
      <w:pPr>
        <w:snapToGrid w:val="0"/>
        <w:spacing w:line="520" w:lineRule="exact"/>
        <w:ind w:left="382" w:leftChars="86" w:hanging="176" w:hangingChars="98"/>
        <w:rPr>
          <w:rFonts w:hint="eastAsia" w:asciiTheme="minorEastAsia" w:hAnsiTheme="minorEastAsia" w:eastAsiaTheme="minorEastAsia"/>
          <w:sz w:val="18"/>
          <w:szCs w:val="18"/>
        </w:rPr>
      </w:pPr>
    </w:p>
    <w:p w14:paraId="268E0D48">
      <w:pPr>
        <w:snapToGrid w:val="0"/>
        <w:spacing w:line="520" w:lineRule="exact"/>
        <w:ind w:left="382" w:leftChars="86" w:hanging="176" w:hangingChars="98"/>
        <w:rPr>
          <w:rFonts w:hint="eastAsia" w:asciiTheme="minorEastAsia" w:hAnsiTheme="minorEastAsia" w:eastAsiaTheme="minorEastAsia"/>
          <w:sz w:val="18"/>
          <w:szCs w:val="18"/>
        </w:rPr>
      </w:pPr>
    </w:p>
    <w:p w14:paraId="0B6C0DB9">
      <w:pPr>
        <w:snapToGrid w:val="0"/>
        <w:spacing w:line="520" w:lineRule="exact"/>
        <w:ind w:left="382" w:leftChars="86" w:hanging="176" w:hangingChars="98"/>
        <w:rPr>
          <w:rFonts w:hint="eastAsia" w:asciiTheme="minorEastAsia" w:hAnsiTheme="minorEastAsia" w:eastAsiaTheme="minorEastAsia"/>
          <w:sz w:val="18"/>
          <w:szCs w:val="18"/>
        </w:rPr>
      </w:pPr>
    </w:p>
    <w:p w14:paraId="6658A004">
      <w:pPr>
        <w:snapToGrid w:val="0"/>
        <w:spacing w:line="520" w:lineRule="exact"/>
        <w:ind w:left="382" w:leftChars="86" w:hanging="176" w:hangingChars="98"/>
        <w:rPr>
          <w:rFonts w:hint="eastAsia" w:asciiTheme="minorEastAsia" w:hAnsiTheme="minorEastAsia" w:eastAsiaTheme="minorEastAsia"/>
          <w:sz w:val="18"/>
          <w:szCs w:val="18"/>
        </w:rPr>
      </w:pPr>
    </w:p>
    <w:p w14:paraId="228F7DE0">
      <w:pPr>
        <w:snapToGrid w:val="0"/>
        <w:spacing w:line="500" w:lineRule="exact"/>
        <w:ind w:firstLine="275" w:firstLineChars="98"/>
        <w:rPr>
          <w:rFonts w:hint="eastAsia" w:ascii="仿宋" w:hAnsi="仿宋" w:eastAsia="仿宋" w:cs="仿宋"/>
          <w:b/>
          <w:sz w:val="28"/>
          <w:szCs w:val="28"/>
        </w:rPr>
      </w:pPr>
      <w:r>
        <w:rPr>
          <w:rFonts w:hint="eastAsia" w:ascii="仿宋" w:hAnsi="仿宋" w:eastAsia="仿宋" w:cs="仿宋"/>
          <w:b/>
          <w:sz w:val="28"/>
          <w:szCs w:val="28"/>
        </w:rPr>
        <w:t>十、近三年官网诚信证明截图证明</w:t>
      </w:r>
    </w:p>
    <w:p w14:paraId="4D4B2DCB">
      <w:pPr>
        <w:snapToGrid w:val="0"/>
        <w:spacing w:line="520" w:lineRule="exact"/>
        <w:ind w:left="382" w:leftChars="86" w:hanging="176" w:hangingChars="98"/>
        <w:rPr>
          <w:rFonts w:hint="eastAsia" w:ascii="仿宋" w:hAnsi="仿宋" w:eastAsia="仿宋" w:cs="仿宋"/>
          <w:b/>
          <w:sz w:val="28"/>
          <w:szCs w:val="28"/>
        </w:rPr>
      </w:pPr>
      <w:r>
        <w:rPr>
          <w:rFonts w:hint="eastAsia" w:asciiTheme="minorEastAsia" w:hAnsiTheme="minorEastAsia" w:eastAsiaTheme="minorEastAsia"/>
          <w:sz w:val="18"/>
          <w:szCs w:val="18"/>
        </w:rPr>
        <w:br w:type="page"/>
      </w:r>
      <w:r>
        <w:rPr>
          <w:rFonts w:hint="eastAsia" w:ascii="仿宋" w:hAnsi="仿宋" w:eastAsia="仿宋" w:cs="仿宋"/>
          <w:b/>
          <w:sz w:val="28"/>
          <w:szCs w:val="28"/>
        </w:rPr>
        <w:t>十一、承诺函</w:t>
      </w:r>
    </w:p>
    <w:p w14:paraId="5828A9D3">
      <w:pPr>
        <w:spacing w:line="520" w:lineRule="exact"/>
        <w:ind w:firstLine="420" w:firstLineChars="150"/>
        <w:rPr>
          <w:rFonts w:hint="eastAsia" w:ascii="仿宋" w:hAnsi="仿宋" w:eastAsia="仿宋" w:cs="仿宋"/>
          <w:sz w:val="28"/>
          <w:szCs w:val="28"/>
        </w:rPr>
      </w:pPr>
      <w:r>
        <w:rPr>
          <w:rFonts w:hint="eastAsia" w:ascii="仿宋" w:hAnsi="仿宋" w:eastAsia="仿宋" w:cs="仿宋"/>
          <w:sz w:val="28"/>
          <w:szCs w:val="28"/>
        </w:rPr>
        <w:t>__________________（采购人）：</w:t>
      </w:r>
    </w:p>
    <w:p w14:paraId="2B07DEC4">
      <w:pPr>
        <w:spacing w:line="520" w:lineRule="exact"/>
        <w:rPr>
          <w:rFonts w:hint="eastAsia" w:ascii="仿宋" w:hAnsi="仿宋" w:eastAsia="仿宋" w:cs="仿宋"/>
          <w:sz w:val="28"/>
          <w:szCs w:val="28"/>
        </w:rPr>
      </w:pPr>
    </w:p>
    <w:p w14:paraId="67F9DA3F">
      <w:pPr>
        <w:spacing w:line="520" w:lineRule="exact"/>
        <w:ind w:firstLine="420"/>
        <w:rPr>
          <w:rFonts w:hint="eastAsia" w:ascii="仿宋" w:hAnsi="仿宋" w:eastAsia="仿宋" w:cs="仿宋"/>
          <w:sz w:val="28"/>
          <w:szCs w:val="28"/>
        </w:rPr>
      </w:pPr>
      <w:r>
        <w:rPr>
          <w:rFonts w:hint="eastAsia" w:ascii="仿宋" w:hAnsi="仿宋" w:eastAsia="仿宋" w:cs="仿宋"/>
          <w:sz w:val="28"/>
          <w:szCs w:val="28"/>
        </w:rPr>
        <w:t>本公司作为参加本次招标的供应商，郑重承诺具备以下条件：</w:t>
      </w:r>
    </w:p>
    <w:p w14:paraId="093B52AF">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1．投标人具有独立承担民事责任的能力；</w:t>
      </w:r>
    </w:p>
    <w:p w14:paraId="533BE8CC">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2．投标人具有良好的商业信誉和健全的财务会计制度，并提供近三年的财务报表；</w:t>
      </w:r>
    </w:p>
    <w:p w14:paraId="76F1BA15">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3．投标人具有依法缴纳税收和社会保障资金的良好纪录，并提供近三年的纳税及员工社保缴纳证明；</w:t>
      </w:r>
    </w:p>
    <w:p w14:paraId="6222F73E">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4．投标人具有履行合同所必需的专业技术能力；</w:t>
      </w:r>
      <w:r>
        <w:rPr>
          <w:rFonts w:hint="eastAsia" w:ascii="Times New Roman" w:hAnsi="Times New Roman" w:eastAsia="方正仿宋_GBK" w:cs="Times New Roman"/>
          <w:sz w:val="28"/>
          <w:szCs w:val="28"/>
        </w:rPr>
        <w:t>投标方需提供2023年1月1日以来签署的高校相关项目合同复印件（单个合同金额至少40万元，或累计合同金额至少150万元）及类似项目履约能力证明材料；</w:t>
      </w:r>
    </w:p>
    <w:p w14:paraId="36E1670B">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5．投标人参加政府采购活动前三年内，没有骗取中标行为，无不正当理由放弃中标（成交）行为，未进行过恶意投诉，在经营活动中没有违法、违规记录；提供官网查询的诚信记录截图，参考查询网站：国家企业信用信息公示系统、信用中国等网站等；</w:t>
      </w:r>
    </w:p>
    <w:p w14:paraId="655A19C3">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 xml:space="preserve">6．投标人具有完善的质量保证和售后服务体系； </w:t>
      </w:r>
    </w:p>
    <w:p w14:paraId="09687D28">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7.本项目不接受联合体投标。</w:t>
      </w:r>
    </w:p>
    <w:p w14:paraId="0FC84CD2">
      <w:pPr>
        <w:spacing w:line="520" w:lineRule="exact"/>
        <w:ind w:firstLine="560" w:firstLineChars="200"/>
        <w:rPr>
          <w:rFonts w:hint="eastAsia" w:ascii="仿宋" w:hAnsi="仿宋" w:eastAsia="仿宋" w:cs="仿宋"/>
          <w:sz w:val="28"/>
          <w:szCs w:val="28"/>
        </w:rPr>
      </w:pPr>
      <w:r>
        <w:rPr>
          <w:rFonts w:hint="eastAsia" w:ascii="Times New Roman" w:hAnsi="Times New Roman" w:eastAsia="方正仿宋_GBK" w:cs="Times New Roman"/>
          <w:sz w:val="28"/>
          <w:szCs w:val="28"/>
        </w:rPr>
        <w:t>8.投标人具有本项目软件的知识产权或经销授权。</w:t>
      </w:r>
    </w:p>
    <w:p w14:paraId="58AB4191">
      <w:pPr>
        <w:spacing w:line="520" w:lineRule="exact"/>
        <w:rPr>
          <w:rFonts w:hint="eastAsia" w:ascii="仿宋" w:hAnsi="仿宋" w:eastAsia="仿宋" w:cs="仿宋"/>
          <w:sz w:val="28"/>
          <w:szCs w:val="28"/>
        </w:rPr>
      </w:pPr>
    </w:p>
    <w:p w14:paraId="3CFF42D3">
      <w:pPr>
        <w:spacing w:line="520" w:lineRule="exact"/>
        <w:rPr>
          <w:rFonts w:hint="eastAsia" w:ascii="仿宋" w:hAnsi="仿宋" w:eastAsia="仿宋" w:cs="仿宋"/>
          <w:sz w:val="28"/>
          <w:szCs w:val="28"/>
        </w:rPr>
      </w:pPr>
    </w:p>
    <w:p w14:paraId="5F80B204">
      <w:pPr>
        <w:adjustRightInd w:val="0"/>
        <w:spacing w:line="52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供应商名称：</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p>
    <w:p w14:paraId="673A2DB3">
      <w:pPr>
        <w:adjustRightInd w:val="0"/>
        <w:spacing w:line="520" w:lineRule="exact"/>
        <w:ind w:firstLine="630" w:firstLineChars="225"/>
        <w:jc w:val="left"/>
        <w:rPr>
          <w:rFonts w:hint="eastAsia" w:ascii="仿宋" w:hAnsi="仿宋" w:eastAsia="仿宋" w:cs="仿宋"/>
          <w:bCs/>
          <w:sz w:val="28"/>
          <w:szCs w:val="28"/>
        </w:rPr>
      </w:pPr>
      <w:r>
        <w:rPr>
          <w:rFonts w:hint="eastAsia" w:ascii="仿宋" w:hAnsi="仿宋" w:eastAsia="仿宋" w:cs="仿宋"/>
          <w:bCs/>
          <w:sz w:val="28"/>
          <w:szCs w:val="28"/>
        </w:rPr>
        <w:t>法定代表人或授权代表（签字或盖章）：</w:t>
      </w:r>
    </w:p>
    <w:p w14:paraId="3DF81B99">
      <w:pPr>
        <w:adjustRightInd w:val="0"/>
        <w:spacing w:line="520" w:lineRule="exact"/>
        <w:ind w:firstLine="630" w:firstLineChars="225"/>
        <w:jc w:val="left"/>
        <w:rPr>
          <w:rFonts w:hint="eastAsia" w:ascii="仿宋" w:hAnsi="仿宋" w:eastAsia="仿宋" w:cs="仿宋"/>
          <w:bCs/>
          <w:sz w:val="28"/>
          <w:szCs w:val="28"/>
        </w:rPr>
      </w:pPr>
      <w:r>
        <w:rPr>
          <w:rFonts w:hint="eastAsia" w:ascii="仿宋" w:hAnsi="仿宋" w:eastAsia="仿宋" w:cs="仿宋"/>
          <w:bCs/>
          <w:sz w:val="28"/>
          <w:szCs w:val="28"/>
        </w:rPr>
        <w:t>日期:</w:t>
      </w:r>
    </w:p>
    <w:p w14:paraId="767BA608">
      <w:pPr>
        <w:snapToGrid w:val="0"/>
        <w:spacing w:line="500" w:lineRule="exact"/>
        <w:rPr>
          <w:rFonts w:hint="eastAsia" w:asciiTheme="minorEastAsia" w:hAnsiTheme="minorEastAsia" w:eastAsiaTheme="minorEastAsia"/>
          <w:b/>
          <w:bCs/>
          <w:kern w:val="0"/>
          <w:sz w:val="21"/>
          <w:szCs w:val="21"/>
        </w:rPr>
        <w:sectPr>
          <w:pgSz w:w="11907" w:h="16840"/>
          <w:pgMar w:top="1440" w:right="1466" w:bottom="1440" w:left="1440" w:header="851" w:footer="992" w:gutter="0"/>
          <w:pgNumType w:fmt="decimal"/>
          <w:cols w:space="425" w:num="1"/>
          <w:docGrid w:linePitch="312" w:charSpace="0"/>
        </w:sectPr>
      </w:pPr>
      <w:r>
        <w:rPr>
          <w:rFonts w:hint="eastAsia" w:asciiTheme="minorEastAsia" w:hAnsiTheme="minorEastAsia" w:eastAsiaTheme="minorEastAsia"/>
        </w:rPr>
        <w:br w:type="page"/>
      </w:r>
    </w:p>
    <w:p w14:paraId="6EF66A91">
      <w:pPr>
        <w:numPr>
          <w:ilvl w:val="0"/>
          <w:numId w:val="12"/>
        </w:numPr>
        <w:adjustRightInd w:val="0"/>
        <w:spacing w:line="480" w:lineRule="auto"/>
        <w:jc w:val="lef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投标文件PDF格式的电子档U盘一份</w:t>
      </w:r>
    </w:p>
    <w:p w14:paraId="4B07A3D0">
      <w:pPr>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br w:type="page"/>
      </w:r>
    </w:p>
    <w:p w14:paraId="30C5D128">
      <w:pPr>
        <w:numPr>
          <w:ilvl w:val="0"/>
          <w:numId w:val="12"/>
        </w:numPr>
        <w:adjustRightInd w:val="0"/>
        <w:spacing w:line="480" w:lineRule="auto"/>
        <w:jc w:val="lef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招标文件购买费缴纳凭据</w:t>
      </w:r>
    </w:p>
    <w:p w14:paraId="66A03FE8">
      <w:pPr>
        <w:snapToGrid w:val="0"/>
        <w:spacing w:line="360" w:lineRule="auto"/>
        <w:ind w:firstLine="480" w:firstLineChars="200"/>
        <w:jc w:val="left"/>
        <w:rPr>
          <w:rFonts w:hint="eastAsia" w:cs="方正仿宋_GBK" w:asciiTheme="minorEastAsia" w:hAnsiTheme="minorEastAsia" w:eastAsiaTheme="minorEastAsia"/>
        </w:rPr>
      </w:pPr>
    </w:p>
    <w:p w14:paraId="2FFE70D1">
      <w:pPr>
        <w:snapToGrid w:val="0"/>
        <w:spacing w:line="360" w:lineRule="auto"/>
        <w:ind w:firstLine="480" w:firstLineChars="200"/>
        <w:jc w:val="left"/>
        <w:rPr>
          <w:rFonts w:hint="eastAsia" w:cs="方正仿宋_GBK" w:asciiTheme="minorEastAsia" w:hAnsiTheme="minorEastAsia" w:eastAsiaTheme="minorEastAsia"/>
        </w:rPr>
      </w:pPr>
    </w:p>
    <w:p w14:paraId="5D8D5E85">
      <w:pPr>
        <w:snapToGrid w:val="0"/>
        <w:spacing w:line="360" w:lineRule="auto"/>
        <w:ind w:firstLine="480" w:firstLineChars="200"/>
        <w:jc w:val="left"/>
        <w:rPr>
          <w:rFonts w:hint="eastAsia" w:cs="方正仿宋_GBK" w:asciiTheme="minorEastAsia" w:hAnsiTheme="minorEastAsia" w:eastAsiaTheme="minorEastAsia"/>
        </w:rPr>
      </w:pPr>
    </w:p>
    <w:p w14:paraId="175A82C2">
      <w:pPr>
        <w:snapToGrid w:val="0"/>
        <w:spacing w:line="360" w:lineRule="auto"/>
        <w:ind w:firstLine="480" w:firstLineChars="200"/>
        <w:jc w:val="left"/>
        <w:rPr>
          <w:rFonts w:hint="eastAsia" w:cs="方正仿宋_GBK" w:asciiTheme="minorEastAsia" w:hAnsiTheme="minorEastAsia" w:eastAsiaTheme="minorEastAsia"/>
        </w:rPr>
      </w:pPr>
    </w:p>
    <w:p w14:paraId="781462EC">
      <w:pPr>
        <w:snapToGrid w:val="0"/>
        <w:spacing w:line="360" w:lineRule="auto"/>
        <w:ind w:firstLine="480" w:firstLineChars="200"/>
        <w:jc w:val="left"/>
        <w:rPr>
          <w:rFonts w:hint="eastAsia" w:cs="方正仿宋_GBK" w:asciiTheme="minorEastAsia" w:hAnsiTheme="minorEastAsia" w:eastAsiaTheme="minorEastAsia"/>
        </w:rPr>
      </w:pPr>
    </w:p>
    <w:p w14:paraId="76D2E0A0">
      <w:pPr>
        <w:snapToGrid w:val="0"/>
        <w:spacing w:line="360" w:lineRule="auto"/>
        <w:ind w:firstLine="480" w:firstLineChars="200"/>
        <w:jc w:val="left"/>
        <w:rPr>
          <w:rFonts w:hint="eastAsia" w:cs="方正仿宋_GBK" w:asciiTheme="minorEastAsia" w:hAnsiTheme="minorEastAsia" w:eastAsiaTheme="minorEastAsia"/>
        </w:rPr>
      </w:pPr>
    </w:p>
    <w:p w14:paraId="2374B4BD">
      <w:pPr>
        <w:snapToGrid w:val="0"/>
        <w:spacing w:line="360" w:lineRule="auto"/>
        <w:ind w:firstLine="480" w:firstLineChars="200"/>
        <w:jc w:val="left"/>
        <w:rPr>
          <w:rFonts w:hint="eastAsia" w:cs="方正仿宋_GBK" w:asciiTheme="minorEastAsia" w:hAnsiTheme="minorEastAsia" w:eastAsiaTheme="minorEastAsia"/>
        </w:rPr>
      </w:pPr>
    </w:p>
    <w:p w14:paraId="5E68F201">
      <w:pPr>
        <w:snapToGrid w:val="0"/>
        <w:spacing w:line="360" w:lineRule="auto"/>
        <w:ind w:firstLine="480" w:firstLineChars="200"/>
        <w:jc w:val="left"/>
        <w:rPr>
          <w:rFonts w:hint="eastAsia" w:cs="方正仿宋_GBK" w:asciiTheme="minorEastAsia" w:hAnsiTheme="minorEastAsia" w:eastAsiaTheme="minorEastAsia"/>
        </w:rPr>
      </w:pPr>
    </w:p>
    <w:p w14:paraId="345BF4F7">
      <w:pPr>
        <w:snapToGrid w:val="0"/>
        <w:spacing w:line="360" w:lineRule="auto"/>
        <w:ind w:firstLine="480" w:firstLineChars="200"/>
        <w:jc w:val="left"/>
        <w:rPr>
          <w:rFonts w:hint="eastAsia" w:cs="方正仿宋_GBK" w:asciiTheme="minorEastAsia" w:hAnsiTheme="minorEastAsia" w:eastAsiaTheme="minorEastAsia"/>
        </w:rPr>
      </w:pPr>
    </w:p>
    <w:p w14:paraId="46688B94">
      <w:pPr>
        <w:snapToGrid w:val="0"/>
        <w:spacing w:line="360" w:lineRule="auto"/>
        <w:ind w:firstLine="480" w:firstLineChars="200"/>
        <w:jc w:val="left"/>
        <w:rPr>
          <w:rFonts w:hint="eastAsia" w:cs="方正仿宋_GBK" w:asciiTheme="minorEastAsia" w:hAnsiTheme="minorEastAsia" w:eastAsiaTheme="minorEastAsia"/>
        </w:rPr>
      </w:pPr>
    </w:p>
    <w:p w14:paraId="634C644D">
      <w:pPr>
        <w:snapToGrid w:val="0"/>
        <w:spacing w:line="360" w:lineRule="auto"/>
        <w:ind w:firstLine="480" w:firstLineChars="200"/>
        <w:jc w:val="left"/>
        <w:rPr>
          <w:rFonts w:hint="eastAsia" w:cs="方正仿宋_GBK" w:asciiTheme="minorEastAsia" w:hAnsiTheme="minorEastAsia" w:eastAsiaTheme="minorEastAsia"/>
        </w:rPr>
      </w:pPr>
    </w:p>
    <w:p w14:paraId="1620D831">
      <w:pPr>
        <w:snapToGrid w:val="0"/>
        <w:spacing w:line="360" w:lineRule="auto"/>
        <w:ind w:firstLine="480" w:firstLineChars="200"/>
        <w:jc w:val="left"/>
        <w:rPr>
          <w:rFonts w:hint="eastAsia" w:cs="方正仿宋_GBK" w:asciiTheme="minorEastAsia" w:hAnsiTheme="minorEastAsia" w:eastAsiaTheme="minorEastAsia"/>
        </w:rPr>
      </w:pPr>
    </w:p>
    <w:p w14:paraId="2A9B4FAC">
      <w:pPr>
        <w:snapToGrid w:val="0"/>
        <w:spacing w:line="360" w:lineRule="auto"/>
        <w:ind w:firstLine="480" w:firstLineChars="200"/>
        <w:jc w:val="left"/>
        <w:rPr>
          <w:rFonts w:hint="eastAsia" w:cs="方正仿宋_GBK" w:asciiTheme="minorEastAsia" w:hAnsiTheme="minorEastAsia" w:eastAsiaTheme="minorEastAsia"/>
        </w:rPr>
      </w:pPr>
    </w:p>
    <w:p w14:paraId="0D16FE0B">
      <w:pPr>
        <w:snapToGrid w:val="0"/>
        <w:spacing w:line="360" w:lineRule="auto"/>
        <w:ind w:firstLine="480" w:firstLineChars="200"/>
        <w:jc w:val="left"/>
        <w:rPr>
          <w:rFonts w:hint="eastAsia" w:cs="方正仿宋_GBK" w:asciiTheme="minorEastAsia" w:hAnsiTheme="minorEastAsia" w:eastAsiaTheme="minorEastAsia"/>
        </w:rPr>
      </w:pPr>
    </w:p>
    <w:p w14:paraId="06EBEB82">
      <w:pPr>
        <w:snapToGrid w:val="0"/>
        <w:spacing w:line="360" w:lineRule="auto"/>
        <w:ind w:firstLine="480" w:firstLineChars="200"/>
        <w:jc w:val="left"/>
        <w:rPr>
          <w:rFonts w:hint="eastAsia" w:cs="方正仿宋_GBK" w:asciiTheme="minorEastAsia" w:hAnsiTheme="minorEastAsia" w:eastAsiaTheme="minorEastAsia"/>
        </w:rPr>
      </w:pPr>
    </w:p>
    <w:p w14:paraId="78E4911A">
      <w:pPr>
        <w:snapToGrid w:val="0"/>
        <w:spacing w:line="360" w:lineRule="auto"/>
        <w:ind w:firstLine="480" w:firstLineChars="200"/>
        <w:jc w:val="left"/>
        <w:rPr>
          <w:rFonts w:hint="eastAsia" w:cs="方正仿宋_GBK" w:asciiTheme="minorEastAsia" w:hAnsiTheme="minorEastAsia" w:eastAsiaTheme="minorEastAsia"/>
        </w:rPr>
      </w:pPr>
    </w:p>
    <w:p w14:paraId="395D6F40">
      <w:pPr>
        <w:snapToGrid w:val="0"/>
        <w:spacing w:line="360" w:lineRule="auto"/>
        <w:ind w:firstLine="480" w:firstLineChars="200"/>
        <w:jc w:val="left"/>
        <w:rPr>
          <w:rFonts w:hint="eastAsia" w:cs="方正仿宋_GBK" w:asciiTheme="minorEastAsia" w:hAnsiTheme="minorEastAsia" w:eastAsiaTheme="minorEastAsia"/>
        </w:rPr>
      </w:pPr>
    </w:p>
    <w:p w14:paraId="408294E2">
      <w:pPr>
        <w:snapToGrid w:val="0"/>
        <w:spacing w:line="360" w:lineRule="auto"/>
        <w:ind w:firstLine="480" w:firstLineChars="200"/>
        <w:jc w:val="left"/>
        <w:rPr>
          <w:rFonts w:hint="eastAsia" w:cs="方正仿宋_GBK" w:asciiTheme="minorEastAsia" w:hAnsiTheme="minorEastAsia" w:eastAsiaTheme="minorEastAsia"/>
        </w:rPr>
      </w:pPr>
    </w:p>
    <w:p w14:paraId="02548E94">
      <w:pPr>
        <w:snapToGrid w:val="0"/>
        <w:spacing w:line="360" w:lineRule="auto"/>
        <w:ind w:firstLine="480" w:firstLineChars="200"/>
        <w:jc w:val="left"/>
        <w:rPr>
          <w:rFonts w:hint="eastAsia" w:cs="方正仿宋_GBK" w:asciiTheme="minorEastAsia" w:hAnsiTheme="minorEastAsia" w:eastAsiaTheme="minorEastAsia"/>
        </w:rPr>
      </w:pPr>
    </w:p>
    <w:p w14:paraId="2C682516">
      <w:pPr>
        <w:snapToGrid w:val="0"/>
        <w:spacing w:line="360" w:lineRule="auto"/>
        <w:ind w:firstLine="480" w:firstLineChars="200"/>
        <w:jc w:val="left"/>
        <w:rPr>
          <w:rFonts w:hint="eastAsia" w:cs="方正仿宋_GBK" w:asciiTheme="minorEastAsia" w:hAnsiTheme="minorEastAsia" w:eastAsiaTheme="minorEastAsia"/>
        </w:rPr>
      </w:pPr>
    </w:p>
    <w:p w14:paraId="22E0F122">
      <w:pPr>
        <w:snapToGrid w:val="0"/>
        <w:spacing w:line="360" w:lineRule="auto"/>
        <w:ind w:firstLine="480" w:firstLineChars="200"/>
        <w:jc w:val="left"/>
        <w:rPr>
          <w:rFonts w:hint="eastAsia" w:cs="方正仿宋_GBK" w:asciiTheme="minorEastAsia" w:hAnsiTheme="minorEastAsia" w:eastAsiaTheme="minorEastAsia"/>
        </w:rPr>
      </w:pPr>
    </w:p>
    <w:p w14:paraId="35278008">
      <w:pPr>
        <w:snapToGrid w:val="0"/>
        <w:spacing w:line="360" w:lineRule="auto"/>
        <w:ind w:firstLine="480" w:firstLineChars="200"/>
        <w:jc w:val="left"/>
        <w:rPr>
          <w:rFonts w:hint="eastAsia" w:cs="方正仿宋_GBK" w:asciiTheme="minorEastAsia" w:hAnsiTheme="minorEastAsia" w:eastAsiaTheme="minorEastAsia"/>
        </w:rPr>
      </w:pPr>
    </w:p>
    <w:p w14:paraId="7FF1FC13">
      <w:pPr>
        <w:snapToGrid w:val="0"/>
        <w:spacing w:line="360" w:lineRule="auto"/>
        <w:ind w:firstLine="480" w:firstLineChars="200"/>
        <w:jc w:val="left"/>
        <w:rPr>
          <w:rFonts w:hint="eastAsia" w:cs="方正仿宋_GBK" w:asciiTheme="minorEastAsia" w:hAnsiTheme="minorEastAsia" w:eastAsiaTheme="minorEastAsia"/>
        </w:rPr>
      </w:pPr>
    </w:p>
    <w:p w14:paraId="15DAD23E">
      <w:pPr>
        <w:snapToGrid w:val="0"/>
        <w:spacing w:line="360" w:lineRule="auto"/>
        <w:ind w:firstLine="480" w:firstLineChars="200"/>
        <w:jc w:val="left"/>
        <w:rPr>
          <w:rFonts w:hint="eastAsia" w:cs="方正仿宋_GBK" w:asciiTheme="minorEastAsia" w:hAnsiTheme="minorEastAsia" w:eastAsiaTheme="minorEastAsia"/>
        </w:rPr>
      </w:pPr>
    </w:p>
    <w:p w14:paraId="0776E802">
      <w:pPr>
        <w:snapToGrid w:val="0"/>
        <w:spacing w:line="360" w:lineRule="auto"/>
        <w:ind w:firstLine="480" w:firstLineChars="200"/>
        <w:jc w:val="left"/>
        <w:rPr>
          <w:rFonts w:hint="eastAsia" w:cs="方正仿宋_GBK" w:asciiTheme="minorEastAsia" w:hAnsiTheme="minorEastAsia" w:eastAsiaTheme="minorEastAsia"/>
        </w:rPr>
      </w:pPr>
    </w:p>
    <w:p w14:paraId="3423B4FF">
      <w:pPr>
        <w:tabs>
          <w:tab w:val="left" w:pos="6300"/>
        </w:tabs>
        <w:snapToGrid w:val="0"/>
        <w:spacing w:line="500" w:lineRule="exact"/>
        <w:jc w:val="center"/>
        <w:outlineLvl w:val="0"/>
        <w:rPr>
          <w:rFonts w:hint="eastAsia" w:cs="方正仿宋_GBK" w:asciiTheme="minorEastAsia" w:hAnsiTheme="minorEastAsia" w:eastAsiaTheme="minorEastAsia"/>
        </w:rPr>
      </w:pPr>
      <w:r>
        <w:rPr>
          <w:rFonts w:hint="eastAsia" w:cs="方正仿宋_GBK" w:asciiTheme="minorEastAsia" w:hAnsiTheme="minorEastAsia" w:eastAsiaTheme="minorEastAsia"/>
        </w:rPr>
        <w:t>（结束）</w:t>
      </w:r>
    </w:p>
    <w:p w14:paraId="076780EA">
      <w:pPr>
        <w:rPr>
          <w:rFonts w:hint="eastAsia" w:cs="方正仿宋_GBK" w:asciiTheme="minorEastAsia" w:hAnsiTheme="minorEastAsia" w:eastAsiaTheme="minorEastAsia"/>
        </w:rPr>
      </w:pPr>
    </w:p>
    <w:p w14:paraId="7EFCEB69">
      <w:pPr>
        <w:adjustRightInd w:val="0"/>
        <w:spacing w:line="480" w:lineRule="auto"/>
        <w:jc w:val="left"/>
        <w:rPr>
          <w:rFonts w:ascii="Times New Roman" w:hAnsi="Times New Roman" w:eastAsia="方正仿宋_GBK" w:cs="Times New Roman"/>
          <w:sz w:val="28"/>
          <w:szCs w:val="28"/>
        </w:rPr>
      </w:pPr>
    </w:p>
    <w:sectPr>
      <w:pgSz w:w="11906" w:h="16838"/>
      <w:pgMar w:top="1440" w:right="1841" w:bottom="1440" w:left="1800" w:header="851" w:footer="992" w:gutter="0"/>
      <w:pgNumType w:fmt="decimal"/>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19F" w:csb1="00000000"/>
  </w:font>
  <w:font w:name="方正细黑一简体">
    <w:altName w:val="黑体"/>
    <w:panose1 w:val="00000000000000000000"/>
    <w:charset w:val="86"/>
    <w:family w:val="auto"/>
    <w:pitch w:val="default"/>
    <w:sig w:usb0="00000000" w:usb1="00000000" w:usb2="00000010" w:usb3="00000000" w:csb0="00040000" w:csb1="00000000"/>
  </w:font>
  <w:font w:name="Heiti SC Light">
    <w:altName w:val="微软雅黑"/>
    <w:panose1 w:val="00000000000000000000"/>
    <w:charset w:val="50"/>
    <w:family w:val="auto"/>
    <w:pitch w:val="default"/>
    <w:sig w:usb0="00000000" w:usb1="00000000" w:usb2="00000010" w:usb3="00000000" w:csb0="003E0000" w:csb1="00000000"/>
  </w:font>
  <w:font w:name="微软雅黑">
    <w:panose1 w:val="020B0503020204020204"/>
    <w:charset w:val="86"/>
    <w:family w:val="swiss"/>
    <w:pitch w:val="default"/>
    <w:sig w:usb0="80000287" w:usb1="280F3C52"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ヒラギノ角ゴ Pro W3">
    <w:altName w:val="Segoe Print"/>
    <w:panose1 w:val="00000000000000000000"/>
    <w:charset w:val="4E"/>
    <w:family w:val="auto"/>
    <w:pitch w:val="default"/>
    <w:sig w:usb0="00000000" w:usb1="00000000" w:usb2="00000012" w:usb3="00000000" w:csb0="0002000D" w:csb1="00000000"/>
  </w:font>
  <w:font w:name="Segoe Print">
    <w:panose1 w:val="02000600000000000000"/>
    <w:charset w:val="00"/>
    <w:family w:val="auto"/>
    <w:pitch w:val="default"/>
    <w:sig w:usb0="0000028F" w:usb1="00000000" w:usb2="00000000" w:usb3="00000000" w:csb0="2000009F" w:csb1="47010000"/>
  </w:font>
  <w:font w:name="文鼎细圆简">
    <w:altName w:val="黑体"/>
    <w:panose1 w:val="00000000000000000000"/>
    <w:charset w:val="86"/>
    <w:family w:val="modern"/>
    <w:pitch w:val="default"/>
    <w:sig w:usb0="00000000" w:usb1="00000000" w:usb2="00000010" w:usb3="00000000" w:csb0="00040000" w:csb1="00000000"/>
  </w:font>
  <w:font w:name="Verdana">
    <w:panose1 w:val="020B0604030504040204"/>
    <w:charset w:val="00"/>
    <w:family w:val="swiss"/>
    <w:pitch w:val="default"/>
    <w:sig w:usb0="A10006FF" w:usb1="4000205B" w:usb2="00000010" w:usb3="00000000" w:csb0="2000019F" w:csb1="00000000"/>
  </w:font>
  <w:font w:name="Courier">
    <w:altName w:val="Courier New"/>
    <w:panose1 w:val="02070409020205020404"/>
    <w:charset w:val="00"/>
    <w:family w:val="moder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方正黑体_GBK">
    <w:altName w:val="微软雅黑"/>
    <w:panose1 w:val="03000509000000000000"/>
    <w:charset w:val="86"/>
    <w:family w:val="script"/>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方正仿宋_GBK">
    <w:altName w:val="微软雅黑"/>
    <w:panose1 w:val="03000509000000000000"/>
    <w:charset w:val="86"/>
    <w:family w:val="script"/>
    <w:pitch w:val="default"/>
    <w:sig w:usb0="00000000" w:usb1="00000000" w:usb2="00000000" w:usb3="00000000" w:csb0="00040000" w:csb1="00000000"/>
  </w:font>
  <w:font w:name="方正楷体_GBK">
    <w:altName w:val="微软雅黑"/>
    <w:panose1 w:val="03000509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82F061">
    <w:pPr>
      <w:pStyle w:val="28"/>
      <w:jc w:val="center"/>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0ED63221">
                <w:pPr>
                  <w:pStyle w:val="2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71</w:t>
                </w:r>
                <w:r>
                  <w:fldChar w:fldCharType="end"/>
                </w:r>
                <w:r>
                  <w:t xml:space="preserve"> 页</w:t>
                </w:r>
              </w:p>
            </w:txbxContent>
          </v:textbox>
        </v:shape>
      </w:pict>
    </w:r>
  </w:p>
  <w:p w14:paraId="764CA535">
    <w:pPr>
      <w:pStyle w:val="2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DC2C03">
    <w:pPr>
      <w:jc w:val="center"/>
      <w:rPr>
        <w:rFonts w:hint="eastAsia" w:ascii="宋体" w:hAnsi="宋体"/>
        <w:color w:val="000000" w:themeColor="text1"/>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4FF279"/>
    <w:multiLevelType w:val="singleLevel"/>
    <w:tmpl w:val="C24FF279"/>
    <w:lvl w:ilvl="0" w:tentative="0">
      <w:start w:val="12"/>
      <w:numFmt w:val="chineseCounting"/>
      <w:suff w:val="nothing"/>
      <w:lvlText w:val="%1、"/>
      <w:lvlJc w:val="left"/>
      <w:rPr>
        <w:rFonts w:hint="eastAsia"/>
      </w:rPr>
    </w:lvl>
  </w:abstractNum>
  <w:abstractNum w:abstractNumId="1">
    <w:nsid w:val="FFFFFF1D"/>
    <w:multiLevelType w:val="multilevel"/>
    <w:tmpl w:val="FFFFFF1D"/>
    <w:lvl w:ilvl="0" w:tentative="0">
      <w:start w:val="1"/>
      <w:numFmt w:val="bullet"/>
      <w:lvlText w:val=""/>
      <w:lvlJc w:val="left"/>
      <w:pPr>
        <w:tabs>
          <w:tab w:val="left" w:pos="0"/>
        </w:tabs>
        <w:ind w:left="0" w:firstLine="0"/>
      </w:pPr>
      <w:rPr>
        <w:rFonts w:hint="default" w:ascii="Wingdings" w:hAnsi="Wingdings"/>
      </w:rPr>
    </w:lvl>
    <w:lvl w:ilvl="1" w:tentative="0">
      <w:start w:val="1"/>
      <w:numFmt w:val="bullet"/>
      <w:pStyle w:val="128"/>
      <w:lvlText w:val=""/>
      <w:lvlJc w:val="left"/>
      <w:pPr>
        <w:tabs>
          <w:tab w:val="left" w:pos="720"/>
        </w:tabs>
        <w:ind w:left="1080" w:hanging="360"/>
      </w:pPr>
      <w:rPr>
        <w:rFonts w:hint="default" w:ascii="Symbol" w:hAnsi="Symbol"/>
      </w:rPr>
    </w:lvl>
    <w:lvl w:ilvl="2" w:tentative="0">
      <w:start w:val="1"/>
      <w:numFmt w:val="bullet"/>
      <w:lvlText w:val="o"/>
      <w:lvlJc w:val="left"/>
      <w:pPr>
        <w:tabs>
          <w:tab w:val="left" w:pos="1440"/>
        </w:tabs>
        <w:ind w:left="1800" w:hanging="360"/>
      </w:pPr>
      <w:rPr>
        <w:rFonts w:hint="default" w:ascii="Courier New" w:hAnsi="Courier New" w:cs="Courier New"/>
      </w:rPr>
    </w:lvl>
    <w:lvl w:ilvl="3" w:tentative="0">
      <w:start w:val="1"/>
      <w:numFmt w:val="bullet"/>
      <w:lvlText w:val=""/>
      <w:lvlJc w:val="left"/>
      <w:pPr>
        <w:tabs>
          <w:tab w:val="left" w:pos="2160"/>
        </w:tabs>
        <w:ind w:left="2520" w:hanging="360"/>
      </w:pPr>
      <w:rPr>
        <w:rFonts w:hint="default" w:ascii="Wingdings" w:hAnsi="Wingdings"/>
      </w:rPr>
    </w:lvl>
    <w:lvl w:ilvl="4" w:tentative="0">
      <w:start w:val="1"/>
      <w:numFmt w:val="bullet"/>
      <w:lvlText w:val=""/>
      <w:lvlJc w:val="left"/>
      <w:pPr>
        <w:tabs>
          <w:tab w:val="left" w:pos="2880"/>
        </w:tabs>
        <w:ind w:left="3240" w:hanging="360"/>
      </w:pPr>
      <w:rPr>
        <w:rFonts w:hint="default" w:ascii="Wingdings" w:hAnsi="Wingdings"/>
      </w:rPr>
    </w:lvl>
    <w:lvl w:ilvl="5" w:tentative="0">
      <w:start w:val="1"/>
      <w:numFmt w:val="bullet"/>
      <w:lvlText w:val=""/>
      <w:lvlJc w:val="left"/>
      <w:pPr>
        <w:tabs>
          <w:tab w:val="left" w:pos="3600"/>
        </w:tabs>
        <w:ind w:left="3960" w:hanging="360"/>
      </w:pPr>
      <w:rPr>
        <w:rFonts w:hint="default" w:ascii="Symbol" w:hAnsi="Symbol"/>
      </w:rPr>
    </w:lvl>
    <w:lvl w:ilvl="6" w:tentative="0">
      <w:start w:val="1"/>
      <w:numFmt w:val="bullet"/>
      <w:lvlText w:val="o"/>
      <w:lvlJc w:val="left"/>
      <w:pPr>
        <w:tabs>
          <w:tab w:val="left" w:pos="4320"/>
        </w:tabs>
        <w:ind w:left="4680" w:hanging="360"/>
      </w:pPr>
      <w:rPr>
        <w:rFonts w:hint="default" w:ascii="Courier New" w:hAnsi="Courier New" w:cs="Courier New"/>
      </w:rPr>
    </w:lvl>
    <w:lvl w:ilvl="7" w:tentative="0">
      <w:start w:val="1"/>
      <w:numFmt w:val="bullet"/>
      <w:lvlText w:val=""/>
      <w:lvlJc w:val="left"/>
      <w:pPr>
        <w:tabs>
          <w:tab w:val="left" w:pos="5040"/>
        </w:tabs>
        <w:ind w:left="5400" w:hanging="360"/>
      </w:pPr>
      <w:rPr>
        <w:rFonts w:hint="default" w:ascii="Wingdings" w:hAnsi="Wingdings"/>
      </w:rPr>
    </w:lvl>
    <w:lvl w:ilvl="8" w:tentative="0">
      <w:start w:val="1"/>
      <w:numFmt w:val="bullet"/>
      <w:lvlText w:val=""/>
      <w:lvlJc w:val="left"/>
      <w:pPr>
        <w:tabs>
          <w:tab w:val="left" w:pos="5760"/>
        </w:tabs>
        <w:ind w:left="6120" w:hanging="360"/>
      </w:pPr>
      <w:rPr>
        <w:rFonts w:hint="default" w:ascii="Wingdings" w:hAnsi="Wingdings"/>
      </w:rPr>
    </w:lvl>
  </w:abstractNum>
  <w:abstractNum w:abstractNumId="2">
    <w:nsid w:val="FFFFFF89"/>
    <w:multiLevelType w:val="singleLevel"/>
    <w:tmpl w:val="FFFFFF89"/>
    <w:lvl w:ilvl="0" w:tentative="0">
      <w:start w:val="1"/>
      <w:numFmt w:val="bullet"/>
      <w:pStyle w:val="15"/>
      <w:lvlText w:val=""/>
      <w:lvlJc w:val="left"/>
      <w:pPr>
        <w:tabs>
          <w:tab w:val="left" w:pos="360"/>
        </w:tabs>
        <w:ind w:left="360" w:hanging="360" w:hangingChars="200"/>
      </w:pPr>
      <w:rPr>
        <w:rFonts w:hint="default" w:ascii="Wingdings" w:hAnsi="Wingdings"/>
      </w:rPr>
    </w:lvl>
  </w:abstractNum>
  <w:abstractNum w:abstractNumId="3">
    <w:nsid w:val="00BE1B30"/>
    <w:multiLevelType w:val="multilevel"/>
    <w:tmpl w:val="00BE1B30"/>
    <w:lvl w:ilvl="0" w:tentative="0">
      <w:start w:val="1"/>
      <w:numFmt w:val="chineseCountingThousand"/>
      <w:pStyle w:val="2"/>
      <w:lvlText w:val="%1"/>
      <w:lvlJc w:val="left"/>
      <w:pPr>
        <w:ind w:left="432" w:hanging="432"/>
      </w:pPr>
      <w:rPr>
        <w:rFonts w:hint="eastAsia"/>
      </w:rPr>
    </w:lvl>
    <w:lvl w:ilvl="1" w:tentative="0">
      <w:start w:val="1"/>
      <w:numFmt w:val="decimal"/>
      <w:pStyle w:val="3"/>
      <w:lvlText w:val="%1.%2"/>
      <w:lvlJc w:val="left"/>
      <w:pPr>
        <w:ind w:left="576" w:hanging="576"/>
      </w:pPr>
      <w:rPr>
        <w:rFonts w:hint="eastAsia"/>
      </w:rPr>
    </w:lvl>
    <w:lvl w:ilvl="2" w:tentative="0">
      <w:start w:val="1"/>
      <w:numFmt w:val="decimal"/>
      <w:pStyle w:val="4"/>
      <w:lvlText w:val="%1.%2.%3"/>
      <w:lvlJc w:val="left"/>
      <w:pPr>
        <w:ind w:left="720" w:hanging="720"/>
      </w:pPr>
      <w:rPr>
        <w:rFonts w:hint="eastAsia"/>
      </w:rPr>
    </w:lvl>
    <w:lvl w:ilvl="3" w:tentative="0">
      <w:start w:val="1"/>
      <w:numFmt w:val="decimal"/>
      <w:lvlText w:val="%1.%2.%3.%4"/>
      <w:lvlJc w:val="left"/>
      <w:pPr>
        <w:ind w:left="864" w:hanging="864"/>
      </w:pPr>
      <w:rPr>
        <w:rFonts w:hint="eastAsia"/>
      </w:rPr>
    </w:lvl>
    <w:lvl w:ilvl="4" w:tentative="0">
      <w:start w:val="1"/>
      <w:numFmt w:val="decimal"/>
      <w:pStyle w:val="6"/>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pStyle w:val="9"/>
      <w:lvlText w:val="%1.%2.%3.%4.%5.%6.%7.%8"/>
      <w:lvlJc w:val="left"/>
      <w:pPr>
        <w:ind w:left="1440" w:hanging="1440"/>
      </w:pPr>
      <w:rPr>
        <w:rFonts w:hint="eastAsia"/>
      </w:rPr>
    </w:lvl>
    <w:lvl w:ilvl="8" w:tentative="0">
      <w:start w:val="1"/>
      <w:numFmt w:val="decimal"/>
      <w:pStyle w:val="10"/>
      <w:lvlText w:val="%1.%2.%3.%4.%5.%6.%7.%8.%9"/>
      <w:lvlJc w:val="left"/>
      <w:pPr>
        <w:ind w:left="1584" w:hanging="1584"/>
      </w:pPr>
      <w:rPr>
        <w:rFonts w:hint="eastAsia"/>
      </w:rPr>
    </w:lvl>
  </w:abstractNum>
  <w:abstractNum w:abstractNumId="4">
    <w:nsid w:val="1AB26842"/>
    <w:multiLevelType w:val="singleLevel"/>
    <w:tmpl w:val="1AB26842"/>
    <w:lvl w:ilvl="0" w:tentative="0">
      <w:start w:val="1"/>
      <w:numFmt w:val="decimal"/>
      <w:lvlText w:val="%1."/>
      <w:lvlJc w:val="left"/>
      <w:pPr>
        <w:tabs>
          <w:tab w:val="left" w:pos="312"/>
        </w:tabs>
      </w:pPr>
    </w:lvl>
  </w:abstractNum>
  <w:abstractNum w:abstractNumId="5">
    <w:nsid w:val="35CD34F7"/>
    <w:multiLevelType w:val="multilevel"/>
    <w:tmpl w:val="35CD34F7"/>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pStyle w:val="181"/>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6">
    <w:nsid w:val="576C171E"/>
    <w:multiLevelType w:val="multilevel"/>
    <w:tmpl w:val="576C171E"/>
    <w:lvl w:ilvl="0" w:tentative="0">
      <w:start w:val="1"/>
      <w:numFmt w:val="bullet"/>
      <w:pStyle w:val="138"/>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7">
    <w:nsid w:val="6EB43250"/>
    <w:multiLevelType w:val="multilevel"/>
    <w:tmpl w:val="6EB43250"/>
    <w:lvl w:ilvl="0" w:tentative="0">
      <w:start w:val="1"/>
      <w:numFmt w:val="bullet"/>
      <w:pStyle w:val="134"/>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8">
    <w:nsid w:val="720B5377"/>
    <w:multiLevelType w:val="multilevel"/>
    <w:tmpl w:val="720B5377"/>
    <w:lvl w:ilvl="0" w:tentative="0">
      <w:start w:val="1"/>
      <w:numFmt w:val="decimal"/>
      <w:pStyle w:val="177"/>
      <w:lvlText w:val="%1、"/>
      <w:lvlJc w:val="left"/>
      <w:pPr>
        <w:tabs>
          <w:tab w:val="left" w:pos="961"/>
        </w:tabs>
        <w:ind w:left="961" w:hanging="360"/>
      </w:pPr>
      <w:rPr>
        <w:rFonts w:hint="default"/>
      </w:rPr>
    </w:lvl>
    <w:lvl w:ilvl="1" w:tentative="0">
      <w:start w:val="1"/>
      <w:numFmt w:val="lowerLetter"/>
      <w:lvlText w:val="%2)"/>
      <w:lvlJc w:val="left"/>
      <w:pPr>
        <w:tabs>
          <w:tab w:val="left" w:pos="1441"/>
        </w:tabs>
        <w:ind w:left="1441" w:hanging="420"/>
      </w:pPr>
    </w:lvl>
    <w:lvl w:ilvl="2" w:tentative="0">
      <w:start w:val="1"/>
      <w:numFmt w:val="lowerRoman"/>
      <w:lvlText w:val="%3."/>
      <w:lvlJc w:val="right"/>
      <w:pPr>
        <w:tabs>
          <w:tab w:val="left" w:pos="1861"/>
        </w:tabs>
        <w:ind w:left="1861" w:hanging="420"/>
      </w:pPr>
    </w:lvl>
    <w:lvl w:ilvl="3" w:tentative="0">
      <w:start w:val="1"/>
      <w:numFmt w:val="decimal"/>
      <w:lvlText w:val="%4."/>
      <w:lvlJc w:val="left"/>
      <w:pPr>
        <w:tabs>
          <w:tab w:val="left" w:pos="2281"/>
        </w:tabs>
        <w:ind w:left="2281" w:hanging="420"/>
      </w:pPr>
    </w:lvl>
    <w:lvl w:ilvl="4" w:tentative="0">
      <w:start w:val="1"/>
      <w:numFmt w:val="lowerLetter"/>
      <w:lvlText w:val="%5)"/>
      <w:lvlJc w:val="left"/>
      <w:pPr>
        <w:tabs>
          <w:tab w:val="left" w:pos="2701"/>
        </w:tabs>
        <w:ind w:left="2701" w:hanging="420"/>
      </w:pPr>
    </w:lvl>
    <w:lvl w:ilvl="5" w:tentative="0">
      <w:start w:val="1"/>
      <w:numFmt w:val="lowerRoman"/>
      <w:lvlText w:val="%6."/>
      <w:lvlJc w:val="right"/>
      <w:pPr>
        <w:tabs>
          <w:tab w:val="left" w:pos="3121"/>
        </w:tabs>
        <w:ind w:left="3121" w:hanging="420"/>
      </w:pPr>
    </w:lvl>
    <w:lvl w:ilvl="6" w:tentative="0">
      <w:start w:val="1"/>
      <w:numFmt w:val="decimal"/>
      <w:lvlText w:val="%7."/>
      <w:lvlJc w:val="left"/>
      <w:pPr>
        <w:tabs>
          <w:tab w:val="left" w:pos="3541"/>
        </w:tabs>
        <w:ind w:left="3541" w:hanging="420"/>
      </w:pPr>
    </w:lvl>
    <w:lvl w:ilvl="7" w:tentative="0">
      <w:start w:val="1"/>
      <w:numFmt w:val="lowerLetter"/>
      <w:lvlText w:val="%8)"/>
      <w:lvlJc w:val="left"/>
      <w:pPr>
        <w:tabs>
          <w:tab w:val="left" w:pos="3961"/>
        </w:tabs>
        <w:ind w:left="3961" w:hanging="420"/>
      </w:pPr>
    </w:lvl>
    <w:lvl w:ilvl="8" w:tentative="0">
      <w:start w:val="1"/>
      <w:numFmt w:val="lowerRoman"/>
      <w:lvlText w:val="%9."/>
      <w:lvlJc w:val="right"/>
      <w:pPr>
        <w:tabs>
          <w:tab w:val="left" w:pos="4381"/>
        </w:tabs>
        <w:ind w:left="4381" w:hanging="420"/>
      </w:pPr>
    </w:lvl>
  </w:abstractNum>
  <w:abstractNum w:abstractNumId="9">
    <w:nsid w:val="74F233E9"/>
    <w:multiLevelType w:val="multilevel"/>
    <w:tmpl w:val="74F233E9"/>
    <w:lvl w:ilvl="0" w:tentative="0">
      <w:start w:val="1"/>
      <w:numFmt w:val="bullet"/>
      <w:pStyle w:val="135"/>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10">
    <w:nsid w:val="76DB1815"/>
    <w:multiLevelType w:val="singleLevel"/>
    <w:tmpl w:val="76DB1815"/>
    <w:lvl w:ilvl="0" w:tentative="0">
      <w:start w:val="6"/>
      <w:numFmt w:val="chineseCounting"/>
      <w:suff w:val="nothing"/>
      <w:lvlText w:val="%1、"/>
      <w:lvlJc w:val="left"/>
      <w:rPr>
        <w:rFonts w:hint="eastAsia"/>
      </w:rPr>
    </w:lvl>
  </w:abstractNum>
  <w:abstractNum w:abstractNumId="11">
    <w:nsid w:val="7F746245"/>
    <w:multiLevelType w:val="multilevel"/>
    <w:tmpl w:val="7F746245"/>
    <w:lvl w:ilvl="0" w:tentative="0">
      <w:start w:val="1"/>
      <w:numFmt w:val="none"/>
      <w:pStyle w:val="193"/>
      <w:lvlText w:val="一、"/>
      <w:lvlJc w:val="left"/>
      <w:pPr>
        <w:tabs>
          <w:tab w:val="left" w:pos="600"/>
        </w:tabs>
        <w:ind w:left="600" w:hanging="60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2"/>
  </w:num>
  <w:num w:numId="3">
    <w:abstractNumId w:val="1"/>
  </w:num>
  <w:num w:numId="4">
    <w:abstractNumId w:val="7"/>
  </w:num>
  <w:num w:numId="5">
    <w:abstractNumId w:val="9"/>
  </w:num>
  <w:num w:numId="6">
    <w:abstractNumId w:val="6"/>
  </w:num>
  <w:num w:numId="7">
    <w:abstractNumId w:val="8"/>
  </w:num>
  <w:num w:numId="8">
    <w:abstractNumId w:val="5"/>
  </w:num>
  <w:num w:numId="9">
    <w:abstractNumId w:val="11"/>
  </w:num>
  <w:num w:numId="10">
    <w:abstractNumId w:val="4"/>
  </w:num>
  <w:num w:numId="11">
    <w:abstractNumId w:val="1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doNotExpandShiftReturn/>
    <w:adjustLineHeightInTable/>
    <w:doNotWrapTextWithPunct/>
    <w:doNotUseEastAsianBreakRules/>
    <w:useFELayout/>
    <w:compatSetting w:name="compatibilityMode" w:uri="http://schemas.microsoft.com/office/word" w:val="12"/>
  </w:compat>
  <w:rsids>
    <w:rsidRoot w:val="004D79EF"/>
    <w:rsid w:val="00000DE8"/>
    <w:rsid w:val="00000E31"/>
    <w:rsid w:val="000022E7"/>
    <w:rsid w:val="00002301"/>
    <w:rsid w:val="0000297A"/>
    <w:rsid w:val="00003AD9"/>
    <w:rsid w:val="00003CD6"/>
    <w:rsid w:val="00007073"/>
    <w:rsid w:val="000071C0"/>
    <w:rsid w:val="00007690"/>
    <w:rsid w:val="00007C1E"/>
    <w:rsid w:val="00007E83"/>
    <w:rsid w:val="000113A7"/>
    <w:rsid w:val="000114AD"/>
    <w:rsid w:val="0001452E"/>
    <w:rsid w:val="00014F3F"/>
    <w:rsid w:val="00014FD5"/>
    <w:rsid w:val="00015100"/>
    <w:rsid w:val="00015270"/>
    <w:rsid w:val="000169AE"/>
    <w:rsid w:val="00017236"/>
    <w:rsid w:val="0001748F"/>
    <w:rsid w:val="000174A7"/>
    <w:rsid w:val="0002216B"/>
    <w:rsid w:val="0002224D"/>
    <w:rsid w:val="0002326D"/>
    <w:rsid w:val="00023DBE"/>
    <w:rsid w:val="0002538E"/>
    <w:rsid w:val="00030193"/>
    <w:rsid w:val="00030C65"/>
    <w:rsid w:val="00030D3E"/>
    <w:rsid w:val="00030E40"/>
    <w:rsid w:val="000317CE"/>
    <w:rsid w:val="00032A91"/>
    <w:rsid w:val="00034905"/>
    <w:rsid w:val="000353A3"/>
    <w:rsid w:val="0003602F"/>
    <w:rsid w:val="0003608B"/>
    <w:rsid w:val="00036F09"/>
    <w:rsid w:val="00037528"/>
    <w:rsid w:val="00041A2B"/>
    <w:rsid w:val="00043B70"/>
    <w:rsid w:val="00044C6E"/>
    <w:rsid w:val="00045017"/>
    <w:rsid w:val="000467BF"/>
    <w:rsid w:val="00047014"/>
    <w:rsid w:val="00047252"/>
    <w:rsid w:val="0005006D"/>
    <w:rsid w:val="0005011D"/>
    <w:rsid w:val="000501B7"/>
    <w:rsid w:val="0005272E"/>
    <w:rsid w:val="000527D6"/>
    <w:rsid w:val="00052AB4"/>
    <w:rsid w:val="00052F13"/>
    <w:rsid w:val="00053B12"/>
    <w:rsid w:val="0005430E"/>
    <w:rsid w:val="00054908"/>
    <w:rsid w:val="000555B1"/>
    <w:rsid w:val="00056CBF"/>
    <w:rsid w:val="00056F51"/>
    <w:rsid w:val="0005726F"/>
    <w:rsid w:val="000572D2"/>
    <w:rsid w:val="00057D58"/>
    <w:rsid w:val="00060ADD"/>
    <w:rsid w:val="00061BD1"/>
    <w:rsid w:val="000627BF"/>
    <w:rsid w:val="00063761"/>
    <w:rsid w:val="00063A72"/>
    <w:rsid w:val="00063BB3"/>
    <w:rsid w:val="00064208"/>
    <w:rsid w:val="00064BAD"/>
    <w:rsid w:val="00065A15"/>
    <w:rsid w:val="00067C96"/>
    <w:rsid w:val="00070DA0"/>
    <w:rsid w:val="00072973"/>
    <w:rsid w:val="00073161"/>
    <w:rsid w:val="0007319B"/>
    <w:rsid w:val="0007338E"/>
    <w:rsid w:val="00074ED3"/>
    <w:rsid w:val="00075A72"/>
    <w:rsid w:val="00076CE4"/>
    <w:rsid w:val="000806DF"/>
    <w:rsid w:val="00081928"/>
    <w:rsid w:val="00081C15"/>
    <w:rsid w:val="000828A5"/>
    <w:rsid w:val="00083078"/>
    <w:rsid w:val="00083443"/>
    <w:rsid w:val="00084211"/>
    <w:rsid w:val="000846F8"/>
    <w:rsid w:val="00085E17"/>
    <w:rsid w:val="00085FBD"/>
    <w:rsid w:val="0008609A"/>
    <w:rsid w:val="00086BE5"/>
    <w:rsid w:val="00086DCA"/>
    <w:rsid w:val="00087EA3"/>
    <w:rsid w:val="00087ED4"/>
    <w:rsid w:val="000905F9"/>
    <w:rsid w:val="0009171A"/>
    <w:rsid w:val="00091AA8"/>
    <w:rsid w:val="0009276D"/>
    <w:rsid w:val="0009297F"/>
    <w:rsid w:val="00092E07"/>
    <w:rsid w:val="00093A6C"/>
    <w:rsid w:val="00093D03"/>
    <w:rsid w:val="00094237"/>
    <w:rsid w:val="000956B8"/>
    <w:rsid w:val="00095BC8"/>
    <w:rsid w:val="000A07EB"/>
    <w:rsid w:val="000A1801"/>
    <w:rsid w:val="000A2528"/>
    <w:rsid w:val="000A2809"/>
    <w:rsid w:val="000A2EDC"/>
    <w:rsid w:val="000A4655"/>
    <w:rsid w:val="000A5826"/>
    <w:rsid w:val="000A6B76"/>
    <w:rsid w:val="000A71D8"/>
    <w:rsid w:val="000A7796"/>
    <w:rsid w:val="000B0569"/>
    <w:rsid w:val="000B0FC0"/>
    <w:rsid w:val="000B272F"/>
    <w:rsid w:val="000B28E9"/>
    <w:rsid w:val="000B2D51"/>
    <w:rsid w:val="000B2FDD"/>
    <w:rsid w:val="000B4DA5"/>
    <w:rsid w:val="000B55C8"/>
    <w:rsid w:val="000B5638"/>
    <w:rsid w:val="000B5EE6"/>
    <w:rsid w:val="000B6013"/>
    <w:rsid w:val="000B60DD"/>
    <w:rsid w:val="000B6A63"/>
    <w:rsid w:val="000B6AD9"/>
    <w:rsid w:val="000B6E2C"/>
    <w:rsid w:val="000B73A2"/>
    <w:rsid w:val="000B7485"/>
    <w:rsid w:val="000C3B21"/>
    <w:rsid w:val="000C3CAA"/>
    <w:rsid w:val="000C4873"/>
    <w:rsid w:val="000C4B56"/>
    <w:rsid w:val="000C5837"/>
    <w:rsid w:val="000C5C3F"/>
    <w:rsid w:val="000D164D"/>
    <w:rsid w:val="000D1E42"/>
    <w:rsid w:val="000D339C"/>
    <w:rsid w:val="000D4AF9"/>
    <w:rsid w:val="000D504F"/>
    <w:rsid w:val="000D5EEB"/>
    <w:rsid w:val="000D7315"/>
    <w:rsid w:val="000D77DB"/>
    <w:rsid w:val="000D7B0B"/>
    <w:rsid w:val="000E0B71"/>
    <w:rsid w:val="000E0E5F"/>
    <w:rsid w:val="000E27CB"/>
    <w:rsid w:val="000E32C8"/>
    <w:rsid w:val="000E3739"/>
    <w:rsid w:val="000E37BC"/>
    <w:rsid w:val="000E4055"/>
    <w:rsid w:val="000E6ADF"/>
    <w:rsid w:val="000E6D8B"/>
    <w:rsid w:val="000E7053"/>
    <w:rsid w:val="000F0441"/>
    <w:rsid w:val="000F0662"/>
    <w:rsid w:val="000F0869"/>
    <w:rsid w:val="000F0D6E"/>
    <w:rsid w:val="000F1581"/>
    <w:rsid w:val="000F19BC"/>
    <w:rsid w:val="000F2AE7"/>
    <w:rsid w:val="000F3C99"/>
    <w:rsid w:val="000F426A"/>
    <w:rsid w:val="000F5676"/>
    <w:rsid w:val="000F645E"/>
    <w:rsid w:val="000F6BD6"/>
    <w:rsid w:val="000F6CA3"/>
    <w:rsid w:val="000F6D1D"/>
    <w:rsid w:val="00100EAE"/>
    <w:rsid w:val="0010247C"/>
    <w:rsid w:val="001040A6"/>
    <w:rsid w:val="00104733"/>
    <w:rsid w:val="00104BFB"/>
    <w:rsid w:val="00105C77"/>
    <w:rsid w:val="00106EB8"/>
    <w:rsid w:val="00114142"/>
    <w:rsid w:val="001163AF"/>
    <w:rsid w:val="001217C2"/>
    <w:rsid w:val="001223AB"/>
    <w:rsid w:val="00123EDD"/>
    <w:rsid w:val="00124126"/>
    <w:rsid w:val="0012490F"/>
    <w:rsid w:val="00125328"/>
    <w:rsid w:val="0012604A"/>
    <w:rsid w:val="00126A8B"/>
    <w:rsid w:val="00135D8D"/>
    <w:rsid w:val="001360D6"/>
    <w:rsid w:val="0013622C"/>
    <w:rsid w:val="00137BA5"/>
    <w:rsid w:val="001415C0"/>
    <w:rsid w:val="00141616"/>
    <w:rsid w:val="001417F8"/>
    <w:rsid w:val="00144FBE"/>
    <w:rsid w:val="00145D85"/>
    <w:rsid w:val="00150298"/>
    <w:rsid w:val="00151194"/>
    <w:rsid w:val="0015189A"/>
    <w:rsid w:val="00152F57"/>
    <w:rsid w:val="0015413A"/>
    <w:rsid w:val="00154756"/>
    <w:rsid w:val="001549C8"/>
    <w:rsid w:val="001555FF"/>
    <w:rsid w:val="00155FA6"/>
    <w:rsid w:val="00156F52"/>
    <w:rsid w:val="001578C6"/>
    <w:rsid w:val="00157FB9"/>
    <w:rsid w:val="00164563"/>
    <w:rsid w:val="00165A73"/>
    <w:rsid w:val="0017033D"/>
    <w:rsid w:val="0017061E"/>
    <w:rsid w:val="00170827"/>
    <w:rsid w:val="00170E76"/>
    <w:rsid w:val="001714FB"/>
    <w:rsid w:val="00172065"/>
    <w:rsid w:val="00172E7E"/>
    <w:rsid w:val="00173498"/>
    <w:rsid w:val="001773C5"/>
    <w:rsid w:val="00177F2F"/>
    <w:rsid w:val="00180485"/>
    <w:rsid w:val="001804B7"/>
    <w:rsid w:val="00180F57"/>
    <w:rsid w:val="00181832"/>
    <w:rsid w:val="001823FB"/>
    <w:rsid w:val="00182425"/>
    <w:rsid w:val="001829B9"/>
    <w:rsid w:val="00182F86"/>
    <w:rsid w:val="001832E4"/>
    <w:rsid w:val="00183BC7"/>
    <w:rsid w:val="00183D97"/>
    <w:rsid w:val="00184082"/>
    <w:rsid w:val="00185C1F"/>
    <w:rsid w:val="00185F25"/>
    <w:rsid w:val="00186064"/>
    <w:rsid w:val="001861AC"/>
    <w:rsid w:val="00186657"/>
    <w:rsid w:val="00186B61"/>
    <w:rsid w:val="00187256"/>
    <w:rsid w:val="00190815"/>
    <w:rsid w:val="00190F4A"/>
    <w:rsid w:val="001925E6"/>
    <w:rsid w:val="001937E8"/>
    <w:rsid w:val="00193CEE"/>
    <w:rsid w:val="00194622"/>
    <w:rsid w:val="00194958"/>
    <w:rsid w:val="00195213"/>
    <w:rsid w:val="00195656"/>
    <w:rsid w:val="001956AD"/>
    <w:rsid w:val="001A236A"/>
    <w:rsid w:val="001A29F1"/>
    <w:rsid w:val="001A2DA9"/>
    <w:rsid w:val="001A2EFE"/>
    <w:rsid w:val="001A453F"/>
    <w:rsid w:val="001A58F1"/>
    <w:rsid w:val="001A5CC5"/>
    <w:rsid w:val="001A6937"/>
    <w:rsid w:val="001A6B81"/>
    <w:rsid w:val="001A7A9D"/>
    <w:rsid w:val="001B0107"/>
    <w:rsid w:val="001B0A60"/>
    <w:rsid w:val="001B180C"/>
    <w:rsid w:val="001B269F"/>
    <w:rsid w:val="001B2A82"/>
    <w:rsid w:val="001B4649"/>
    <w:rsid w:val="001B5DFF"/>
    <w:rsid w:val="001B7EF0"/>
    <w:rsid w:val="001C11FB"/>
    <w:rsid w:val="001C2042"/>
    <w:rsid w:val="001C28BF"/>
    <w:rsid w:val="001C34A4"/>
    <w:rsid w:val="001C79B9"/>
    <w:rsid w:val="001D07B5"/>
    <w:rsid w:val="001D08C7"/>
    <w:rsid w:val="001D0BD5"/>
    <w:rsid w:val="001D1716"/>
    <w:rsid w:val="001D1EE7"/>
    <w:rsid w:val="001D259D"/>
    <w:rsid w:val="001D2BB8"/>
    <w:rsid w:val="001D2FB3"/>
    <w:rsid w:val="001D3500"/>
    <w:rsid w:val="001D3999"/>
    <w:rsid w:val="001D3AF0"/>
    <w:rsid w:val="001D3BA9"/>
    <w:rsid w:val="001D3BBF"/>
    <w:rsid w:val="001D4716"/>
    <w:rsid w:val="001D4A5E"/>
    <w:rsid w:val="001D4B0D"/>
    <w:rsid w:val="001D5CF7"/>
    <w:rsid w:val="001D686E"/>
    <w:rsid w:val="001D6C36"/>
    <w:rsid w:val="001D6E5F"/>
    <w:rsid w:val="001D7979"/>
    <w:rsid w:val="001E07E1"/>
    <w:rsid w:val="001E19D9"/>
    <w:rsid w:val="001E39C0"/>
    <w:rsid w:val="001E39DD"/>
    <w:rsid w:val="001E5296"/>
    <w:rsid w:val="001E5805"/>
    <w:rsid w:val="001E61FA"/>
    <w:rsid w:val="001E63A3"/>
    <w:rsid w:val="001E6758"/>
    <w:rsid w:val="001E7F58"/>
    <w:rsid w:val="001F03F5"/>
    <w:rsid w:val="001F08D3"/>
    <w:rsid w:val="001F0CEA"/>
    <w:rsid w:val="001F12A2"/>
    <w:rsid w:val="001F1D40"/>
    <w:rsid w:val="001F28F1"/>
    <w:rsid w:val="001F2B7F"/>
    <w:rsid w:val="001F3398"/>
    <w:rsid w:val="001F390A"/>
    <w:rsid w:val="001F3D11"/>
    <w:rsid w:val="001F5FF9"/>
    <w:rsid w:val="001F64F5"/>
    <w:rsid w:val="001F72BE"/>
    <w:rsid w:val="001F7C76"/>
    <w:rsid w:val="00200453"/>
    <w:rsid w:val="0020416A"/>
    <w:rsid w:val="00204948"/>
    <w:rsid w:val="00204972"/>
    <w:rsid w:val="00204D8F"/>
    <w:rsid w:val="0020593D"/>
    <w:rsid w:val="002066A7"/>
    <w:rsid w:val="00206B7F"/>
    <w:rsid w:val="00206E7D"/>
    <w:rsid w:val="00212494"/>
    <w:rsid w:val="00212748"/>
    <w:rsid w:val="00212E8E"/>
    <w:rsid w:val="002135F3"/>
    <w:rsid w:val="00214426"/>
    <w:rsid w:val="00214D4A"/>
    <w:rsid w:val="00215319"/>
    <w:rsid w:val="002159A1"/>
    <w:rsid w:val="00217338"/>
    <w:rsid w:val="00221B3F"/>
    <w:rsid w:val="0022341F"/>
    <w:rsid w:val="0022483A"/>
    <w:rsid w:val="00224D9A"/>
    <w:rsid w:val="00224EF5"/>
    <w:rsid w:val="00224F5E"/>
    <w:rsid w:val="00224F91"/>
    <w:rsid w:val="00225D57"/>
    <w:rsid w:val="00231005"/>
    <w:rsid w:val="002312BA"/>
    <w:rsid w:val="002316F3"/>
    <w:rsid w:val="002318D4"/>
    <w:rsid w:val="00231B08"/>
    <w:rsid w:val="00231D82"/>
    <w:rsid w:val="0023267A"/>
    <w:rsid w:val="0023337B"/>
    <w:rsid w:val="00234991"/>
    <w:rsid w:val="00234A94"/>
    <w:rsid w:val="00234B4C"/>
    <w:rsid w:val="00235DDD"/>
    <w:rsid w:val="00236BA2"/>
    <w:rsid w:val="002407B1"/>
    <w:rsid w:val="00240EF3"/>
    <w:rsid w:val="002416A2"/>
    <w:rsid w:val="0024184C"/>
    <w:rsid w:val="0024198E"/>
    <w:rsid w:val="0024257A"/>
    <w:rsid w:val="00242CA1"/>
    <w:rsid w:val="00243230"/>
    <w:rsid w:val="0024347B"/>
    <w:rsid w:val="002438CE"/>
    <w:rsid w:val="002441A5"/>
    <w:rsid w:val="00244571"/>
    <w:rsid w:val="002448F3"/>
    <w:rsid w:val="00246E4E"/>
    <w:rsid w:val="00250448"/>
    <w:rsid w:val="00252A27"/>
    <w:rsid w:val="00253EBC"/>
    <w:rsid w:val="002541B9"/>
    <w:rsid w:val="00255018"/>
    <w:rsid w:val="00255F75"/>
    <w:rsid w:val="0025613F"/>
    <w:rsid w:val="002608D7"/>
    <w:rsid w:val="00260CA5"/>
    <w:rsid w:val="00260E02"/>
    <w:rsid w:val="00265F74"/>
    <w:rsid w:val="00266B5E"/>
    <w:rsid w:val="00267480"/>
    <w:rsid w:val="00267516"/>
    <w:rsid w:val="00270369"/>
    <w:rsid w:val="00270AED"/>
    <w:rsid w:val="00270D91"/>
    <w:rsid w:val="002713DD"/>
    <w:rsid w:val="002732D2"/>
    <w:rsid w:val="00273E25"/>
    <w:rsid w:val="00274649"/>
    <w:rsid w:val="0027647F"/>
    <w:rsid w:val="0027652C"/>
    <w:rsid w:val="00277ED3"/>
    <w:rsid w:val="002812A5"/>
    <w:rsid w:val="0028138D"/>
    <w:rsid w:val="00281F2C"/>
    <w:rsid w:val="0028261B"/>
    <w:rsid w:val="00285E18"/>
    <w:rsid w:val="00285FD6"/>
    <w:rsid w:val="00286DB4"/>
    <w:rsid w:val="00290563"/>
    <w:rsid w:val="002906D5"/>
    <w:rsid w:val="00291A4A"/>
    <w:rsid w:val="0029239A"/>
    <w:rsid w:val="00292D3B"/>
    <w:rsid w:val="002961B6"/>
    <w:rsid w:val="00297763"/>
    <w:rsid w:val="002A0F00"/>
    <w:rsid w:val="002A102B"/>
    <w:rsid w:val="002A2160"/>
    <w:rsid w:val="002A263E"/>
    <w:rsid w:val="002A3112"/>
    <w:rsid w:val="002A468D"/>
    <w:rsid w:val="002A484B"/>
    <w:rsid w:val="002A5BF1"/>
    <w:rsid w:val="002A6695"/>
    <w:rsid w:val="002A7929"/>
    <w:rsid w:val="002B0609"/>
    <w:rsid w:val="002B100C"/>
    <w:rsid w:val="002B1BA1"/>
    <w:rsid w:val="002B1C30"/>
    <w:rsid w:val="002B401F"/>
    <w:rsid w:val="002B43CE"/>
    <w:rsid w:val="002B4D4A"/>
    <w:rsid w:val="002B4E6D"/>
    <w:rsid w:val="002B5764"/>
    <w:rsid w:val="002B6050"/>
    <w:rsid w:val="002B6612"/>
    <w:rsid w:val="002B6BB1"/>
    <w:rsid w:val="002B6F92"/>
    <w:rsid w:val="002C30C4"/>
    <w:rsid w:val="002C3A8B"/>
    <w:rsid w:val="002C48D4"/>
    <w:rsid w:val="002C613A"/>
    <w:rsid w:val="002C638A"/>
    <w:rsid w:val="002D01B6"/>
    <w:rsid w:val="002D123C"/>
    <w:rsid w:val="002D1ABD"/>
    <w:rsid w:val="002D3637"/>
    <w:rsid w:val="002D36DD"/>
    <w:rsid w:val="002D4153"/>
    <w:rsid w:val="002D54C3"/>
    <w:rsid w:val="002D5F8F"/>
    <w:rsid w:val="002D7112"/>
    <w:rsid w:val="002D76BA"/>
    <w:rsid w:val="002D7722"/>
    <w:rsid w:val="002D7AF9"/>
    <w:rsid w:val="002E10AD"/>
    <w:rsid w:val="002E19CE"/>
    <w:rsid w:val="002E2145"/>
    <w:rsid w:val="002E2226"/>
    <w:rsid w:val="002E2420"/>
    <w:rsid w:val="002E4383"/>
    <w:rsid w:val="002E687F"/>
    <w:rsid w:val="002E7C08"/>
    <w:rsid w:val="002F10AE"/>
    <w:rsid w:val="002F25D5"/>
    <w:rsid w:val="002F2732"/>
    <w:rsid w:val="002F3CF4"/>
    <w:rsid w:val="002F4F77"/>
    <w:rsid w:val="002F63A1"/>
    <w:rsid w:val="002F74CF"/>
    <w:rsid w:val="00301F2D"/>
    <w:rsid w:val="003023F5"/>
    <w:rsid w:val="00303480"/>
    <w:rsid w:val="003068F5"/>
    <w:rsid w:val="00306DB2"/>
    <w:rsid w:val="00310099"/>
    <w:rsid w:val="003111C3"/>
    <w:rsid w:val="00311A6C"/>
    <w:rsid w:val="00312106"/>
    <w:rsid w:val="00312BDE"/>
    <w:rsid w:val="003130E3"/>
    <w:rsid w:val="003145D6"/>
    <w:rsid w:val="003159DF"/>
    <w:rsid w:val="003177C0"/>
    <w:rsid w:val="00317B73"/>
    <w:rsid w:val="00317E4F"/>
    <w:rsid w:val="00320E63"/>
    <w:rsid w:val="0032135C"/>
    <w:rsid w:val="00321DBA"/>
    <w:rsid w:val="00321EE0"/>
    <w:rsid w:val="00322D1B"/>
    <w:rsid w:val="00327D55"/>
    <w:rsid w:val="003315C5"/>
    <w:rsid w:val="003320DE"/>
    <w:rsid w:val="00337F1F"/>
    <w:rsid w:val="00337FFE"/>
    <w:rsid w:val="00340410"/>
    <w:rsid w:val="00340483"/>
    <w:rsid w:val="00340866"/>
    <w:rsid w:val="00340F38"/>
    <w:rsid w:val="003426A3"/>
    <w:rsid w:val="00342CC4"/>
    <w:rsid w:val="003444C0"/>
    <w:rsid w:val="00346A16"/>
    <w:rsid w:val="00347510"/>
    <w:rsid w:val="0035030B"/>
    <w:rsid w:val="00350FCA"/>
    <w:rsid w:val="0035197B"/>
    <w:rsid w:val="00351FCC"/>
    <w:rsid w:val="003525E1"/>
    <w:rsid w:val="00352B0D"/>
    <w:rsid w:val="00354248"/>
    <w:rsid w:val="003546A4"/>
    <w:rsid w:val="0035507A"/>
    <w:rsid w:val="003553E3"/>
    <w:rsid w:val="00355673"/>
    <w:rsid w:val="00355C1D"/>
    <w:rsid w:val="003573FA"/>
    <w:rsid w:val="003577CD"/>
    <w:rsid w:val="0036171A"/>
    <w:rsid w:val="00362BEE"/>
    <w:rsid w:val="003648BF"/>
    <w:rsid w:val="003658F5"/>
    <w:rsid w:val="00366B18"/>
    <w:rsid w:val="003671F0"/>
    <w:rsid w:val="00367F75"/>
    <w:rsid w:val="003720DD"/>
    <w:rsid w:val="0037251F"/>
    <w:rsid w:val="00373814"/>
    <w:rsid w:val="00373C7B"/>
    <w:rsid w:val="0037478A"/>
    <w:rsid w:val="003766CF"/>
    <w:rsid w:val="00377560"/>
    <w:rsid w:val="00377D79"/>
    <w:rsid w:val="00380A0D"/>
    <w:rsid w:val="00380AEC"/>
    <w:rsid w:val="003810A0"/>
    <w:rsid w:val="003816B7"/>
    <w:rsid w:val="0038196F"/>
    <w:rsid w:val="00381BAB"/>
    <w:rsid w:val="00381C5F"/>
    <w:rsid w:val="00381E2E"/>
    <w:rsid w:val="0038260A"/>
    <w:rsid w:val="00382BD0"/>
    <w:rsid w:val="00382CCF"/>
    <w:rsid w:val="00382D08"/>
    <w:rsid w:val="00382EFA"/>
    <w:rsid w:val="00382F92"/>
    <w:rsid w:val="00383AC8"/>
    <w:rsid w:val="00384C1D"/>
    <w:rsid w:val="00385912"/>
    <w:rsid w:val="00387105"/>
    <w:rsid w:val="00387C72"/>
    <w:rsid w:val="00390621"/>
    <w:rsid w:val="00390828"/>
    <w:rsid w:val="003919FC"/>
    <w:rsid w:val="003924BD"/>
    <w:rsid w:val="003943E2"/>
    <w:rsid w:val="00394494"/>
    <w:rsid w:val="00394C14"/>
    <w:rsid w:val="0039540E"/>
    <w:rsid w:val="003955C9"/>
    <w:rsid w:val="00395CEF"/>
    <w:rsid w:val="003A03E5"/>
    <w:rsid w:val="003A0F7F"/>
    <w:rsid w:val="003A10F9"/>
    <w:rsid w:val="003A1A52"/>
    <w:rsid w:val="003A214F"/>
    <w:rsid w:val="003A2B47"/>
    <w:rsid w:val="003A39EA"/>
    <w:rsid w:val="003A5C2F"/>
    <w:rsid w:val="003A739A"/>
    <w:rsid w:val="003B27DC"/>
    <w:rsid w:val="003B29B7"/>
    <w:rsid w:val="003B366A"/>
    <w:rsid w:val="003B532E"/>
    <w:rsid w:val="003B5A89"/>
    <w:rsid w:val="003B6D25"/>
    <w:rsid w:val="003B6DEE"/>
    <w:rsid w:val="003B75D6"/>
    <w:rsid w:val="003C1ADE"/>
    <w:rsid w:val="003C1B61"/>
    <w:rsid w:val="003C379D"/>
    <w:rsid w:val="003C3AED"/>
    <w:rsid w:val="003C3EDE"/>
    <w:rsid w:val="003C5082"/>
    <w:rsid w:val="003C7BC1"/>
    <w:rsid w:val="003D0414"/>
    <w:rsid w:val="003D066E"/>
    <w:rsid w:val="003D101E"/>
    <w:rsid w:val="003D2034"/>
    <w:rsid w:val="003D2914"/>
    <w:rsid w:val="003D4297"/>
    <w:rsid w:val="003D519B"/>
    <w:rsid w:val="003D53AF"/>
    <w:rsid w:val="003D6778"/>
    <w:rsid w:val="003D67CD"/>
    <w:rsid w:val="003D6C80"/>
    <w:rsid w:val="003D6EBC"/>
    <w:rsid w:val="003D79F5"/>
    <w:rsid w:val="003D7B13"/>
    <w:rsid w:val="003E0122"/>
    <w:rsid w:val="003E2A33"/>
    <w:rsid w:val="003E30D8"/>
    <w:rsid w:val="003E53C3"/>
    <w:rsid w:val="003E7864"/>
    <w:rsid w:val="003E7BFB"/>
    <w:rsid w:val="003F0068"/>
    <w:rsid w:val="003F0C82"/>
    <w:rsid w:val="003F149A"/>
    <w:rsid w:val="003F1D6C"/>
    <w:rsid w:val="003F2438"/>
    <w:rsid w:val="003F628E"/>
    <w:rsid w:val="003F6389"/>
    <w:rsid w:val="003F67B1"/>
    <w:rsid w:val="003F6D84"/>
    <w:rsid w:val="003F7935"/>
    <w:rsid w:val="004005FD"/>
    <w:rsid w:val="0040070B"/>
    <w:rsid w:val="00400D41"/>
    <w:rsid w:val="00401031"/>
    <w:rsid w:val="004014E3"/>
    <w:rsid w:val="0040229A"/>
    <w:rsid w:val="0040249E"/>
    <w:rsid w:val="00403DD9"/>
    <w:rsid w:val="0040550D"/>
    <w:rsid w:val="0040721A"/>
    <w:rsid w:val="004077C5"/>
    <w:rsid w:val="00407F99"/>
    <w:rsid w:val="00410378"/>
    <w:rsid w:val="00410D9E"/>
    <w:rsid w:val="00410DD5"/>
    <w:rsid w:val="00410E8B"/>
    <w:rsid w:val="00411044"/>
    <w:rsid w:val="00412DA5"/>
    <w:rsid w:val="004137A2"/>
    <w:rsid w:val="00413A91"/>
    <w:rsid w:val="00414C6A"/>
    <w:rsid w:val="00417247"/>
    <w:rsid w:val="0041787C"/>
    <w:rsid w:val="00417CDB"/>
    <w:rsid w:val="0042021A"/>
    <w:rsid w:val="0042047E"/>
    <w:rsid w:val="004205BA"/>
    <w:rsid w:val="004216F1"/>
    <w:rsid w:val="00422853"/>
    <w:rsid w:val="004238A2"/>
    <w:rsid w:val="0042484A"/>
    <w:rsid w:val="00425472"/>
    <w:rsid w:val="00425CB5"/>
    <w:rsid w:val="00425E53"/>
    <w:rsid w:val="0042653F"/>
    <w:rsid w:val="00427095"/>
    <w:rsid w:val="004272B7"/>
    <w:rsid w:val="00427DD9"/>
    <w:rsid w:val="00427E43"/>
    <w:rsid w:val="00430226"/>
    <w:rsid w:val="00431AC7"/>
    <w:rsid w:val="00432C1F"/>
    <w:rsid w:val="00432CD3"/>
    <w:rsid w:val="00435845"/>
    <w:rsid w:val="00436CF0"/>
    <w:rsid w:val="00440524"/>
    <w:rsid w:val="00440A36"/>
    <w:rsid w:val="00440E5A"/>
    <w:rsid w:val="0044286A"/>
    <w:rsid w:val="004429D8"/>
    <w:rsid w:val="0044475B"/>
    <w:rsid w:val="0044503E"/>
    <w:rsid w:val="00447C9F"/>
    <w:rsid w:val="004510AE"/>
    <w:rsid w:val="0045181F"/>
    <w:rsid w:val="00451B63"/>
    <w:rsid w:val="00454EDA"/>
    <w:rsid w:val="004551AC"/>
    <w:rsid w:val="00455637"/>
    <w:rsid w:val="00455E2C"/>
    <w:rsid w:val="00456704"/>
    <w:rsid w:val="00457292"/>
    <w:rsid w:val="00457678"/>
    <w:rsid w:val="00457DD6"/>
    <w:rsid w:val="00457E48"/>
    <w:rsid w:val="00460079"/>
    <w:rsid w:val="00460348"/>
    <w:rsid w:val="00460DF8"/>
    <w:rsid w:val="004611A7"/>
    <w:rsid w:val="004619C1"/>
    <w:rsid w:val="004624F7"/>
    <w:rsid w:val="00462C67"/>
    <w:rsid w:val="0046330F"/>
    <w:rsid w:val="00463C1C"/>
    <w:rsid w:val="00463EFA"/>
    <w:rsid w:val="00470BF6"/>
    <w:rsid w:val="00470EFE"/>
    <w:rsid w:val="004726D9"/>
    <w:rsid w:val="00472D21"/>
    <w:rsid w:val="00474259"/>
    <w:rsid w:val="00475C79"/>
    <w:rsid w:val="00476926"/>
    <w:rsid w:val="00477F87"/>
    <w:rsid w:val="00480D8C"/>
    <w:rsid w:val="00480DE1"/>
    <w:rsid w:val="00481ADC"/>
    <w:rsid w:val="0048397E"/>
    <w:rsid w:val="0048418F"/>
    <w:rsid w:val="004845EB"/>
    <w:rsid w:val="00485FFF"/>
    <w:rsid w:val="00486A6E"/>
    <w:rsid w:val="00487B6F"/>
    <w:rsid w:val="00487F40"/>
    <w:rsid w:val="004901E6"/>
    <w:rsid w:val="004919CB"/>
    <w:rsid w:val="0049267A"/>
    <w:rsid w:val="00492918"/>
    <w:rsid w:val="00492985"/>
    <w:rsid w:val="00492BEE"/>
    <w:rsid w:val="00494EBF"/>
    <w:rsid w:val="00496DE6"/>
    <w:rsid w:val="004A0E4B"/>
    <w:rsid w:val="004A1363"/>
    <w:rsid w:val="004A1F82"/>
    <w:rsid w:val="004A2483"/>
    <w:rsid w:val="004A2AD9"/>
    <w:rsid w:val="004A2E10"/>
    <w:rsid w:val="004A3C01"/>
    <w:rsid w:val="004A4432"/>
    <w:rsid w:val="004B014A"/>
    <w:rsid w:val="004B0D04"/>
    <w:rsid w:val="004B0EF9"/>
    <w:rsid w:val="004B2278"/>
    <w:rsid w:val="004B320C"/>
    <w:rsid w:val="004B357C"/>
    <w:rsid w:val="004B3754"/>
    <w:rsid w:val="004B3AD0"/>
    <w:rsid w:val="004B3FE5"/>
    <w:rsid w:val="004B59FE"/>
    <w:rsid w:val="004B7509"/>
    <w:rsid w:val="004B7C30"/>
    <w:rsid w:val="004C0628"/>
    <w:rsid w:val="004C08CE"/>
    <w:rsid w:val="004C0DD8"/>
    <w:rsid w:val="004C3BA5"/>
    <w:rsid w:val="004C3E2D"/>
    <w:rsid w:val="004C455A"/>
    <w:rsid w:val="004C4758"/>
    <w:rsid w:val="004C697B"/>
    <w:rsid w:val="004C7915"/>
    <w:rsid w:val="004C7A2B"/>
    <w:rsid w:val="004D03E1"/>
    <w:rsid w:val="004D1476"/>
    <w:rsid w:val="004D2C93"/>
    <w:rsid w:val="004D2E85"/>
    <w:rsid w:val="004D453D"/>
    <w:rsid w:val="004D50AE"/>
    <w:rsid w:val="004D6854"/>
    <w:rsid w:val="004D6F13"/>
    <w:rsid w:val="004D70C6"/>
    <w:rsid w:val="004D752D"/>
    <w:rsid w:val="004D753A"/>
    <w:rsid w:val="004D79EF"/>
    <w:rsid w:val="004E07CC"/>
    <w:rsid w:val="004E0A5E"/>
    <w:rsid w:val="004E1167"/>
    <w:rsid w:val="004E1F95"/>
    <w:rsid w:val="004E2B74"/>
    <w:rsid w:val="004E2EC1"/>
    <w:rsid w:val="004E3C6F"/>
    <w:rsid w:val="004E3ED4"/>
    <w:rsid w:val="004E40F0"/>
    <w:rsid w:val="004E451B"/>
    <w:rsid w:val="004E52F3"/>
    <w:rsid w:val="004E66F1"/>
    <w:rsid w:val="004E6793"/>
    <w:rsid w:val="004E6BBF"/>
    <w:rsid w:val="004E6CCC"/>
    <w:rsid w:val="004E776B"/>
    <w:rsid w:val="004E7ACA"/>
    <w:rsid w:val="004F041F"/>
    <w:rsid w:val="004F0457"/>
    <w:rsid w:val="004F0FFA"/>
    <w:rsid w:val="004F29DD"/>
    <w:rsid w:val="004F2CE0"/>
    <w:rsid w:val="004F300B"/>
    <w:rsid w:val="004F33FD"/>
    <w:rsid w:val="004F33FE"/>
    <w:rsid w:val="004F4682"/>
    <w:rsid w:val="004F4C0B"/>
    <w:rsid w:val="004F6CA5"/>
    <w:rsid w:val="004F6DAA"/>
    <w:rsid w:val="004F7538"/>
    <w:rsid w:val="004F7F8F"/>
    <w:rsid w:val="00501388"/>
    <w:rsid w:val="00503779"/>
    <w:rsid w:val="00506767"/>
    <w:rsid w:val="0050750D"/>
    <w:rsid w:val="0050766B"/>
    <w:rsid w:val="00510D22"/>
    <w:rsid w:val="00511577"/>
    <w:rsid w:val="00511AD9"/>
    <w:rsid w:val="00513C3A"/>
    <w:rsid w:val="00515B9F"/>
    <w:rsid w:val="00516134"/>
    <w:rsid w:val="00516B89"/>
    <w:rsid w:val="005179D3"/>
    <w:rsid w:val="00517C11"/>
    <w:rsid w:val="0052078E"/>
    <w:rsid w:val="005218CC"/>
    <w:rsid w:val="005218F6"/>
    <w:rsid w:val="005249F2"/>
    <w:rsid w:val="00525363"/>
    <w:rsid w:val="00525441"/>
    <w:rsid w:val="00526B36"/>
    <w:rsid w:val="00526EEA"/>
    <w:rsid w:val="00527E68"/>
    <w:rsid w:val="005311A7"/>
    <w:rsid w:val="0053286C"/>
    <w:rsid w:val="00532EB5"/>
    <w:rsid w:val="00532EFE"/>
    <w:rsid w:val="00533DA4"/>
    <w:rsid w:val="00533F45"/>
    <w:rsid w:val="00534310"/>
    <w:rsid w:val="005353DB"/>
    <w:rsid w:val="0053572D"/>
    <w:rsid w:val="005357FF"/>
    <w:rsid w:val="00536854"/>
    <w:rsid w:val="005376E0"/>
    <w:rsid w:val="00537DD0"/>
    <w:rsid w:val="00540CD2"/>
    <w:rsid w:val="00540FB8"/>
    <w:rsid w:val="0054214A"/>
    <w:rsid w:val="0054221E"/>
    <w:rsid w:val="00542BB2"/>
    <w:rsid w:val="005435EC"/>
    <w:rsid w:val="00543731"/>
    <w:rsid w:val="00543EC1"/>
    <w:rsid w:val="00544737"/>
    <w:rsid w:val="00544F7A"/>
    <w:rsid w:val="0054555C"/>
    <w:rsid w:val="005456EF"/>
    <w:rsid w:val="00545809"/>
    <w:rsid w:val="00545C31"/>
    <w:rsid w:val="00545DC3"/>
    <w:rsid w:val="00545E54"/>
    <w:rsid w:val="00546468"/>
    <w:rsid w:val="00550802"/>
    <w:rsid w:val="00550CFD"/>
    <w:rsid w:val="00550F6F"/>
    <w:rsid w:val="00551136"/>
    <w:rsid w:val="005514DE"/>
    <w:rsid w:val="0055186F"/>
    <w:rsid w:val="00551C0A"/>
    <w:rsid w:val="00552BE8"/>
    <w:rsid w:val="00552EBA"/>
    <w:rsid w:val="00553945"/>
    <w:rsid w:val="00553DDD"/>
    <w:rsid w:val="00555519"/>
    <w:rsid w:val="00555A98"/>
    <w:rsid w:val="00555E16"/>
    <w:rsid w:val="00556D01"/>
    <w:rsid w:val="0055751F"/>
    <w:rsid w:val="00557E93"/>
    <w:rsid w:val="005619BC"/>
    <w:rsid w:val="00562364"/>
    <w:rsid w:val="005635B4"/>
    <w:rsid w:val="005650D8"/>
    <w:rsid w:val="00566253"/>
    <w:rsid w:val="0057005F"/>
    <w:rsid w:val="005709CA"/>
    <w:rsid w:val="00570CA4"/>
    <w:rsid w:val="0057175E"/>
    <w:rsid w:val="0057175F"/>
    <w:rsid w:val="005723C5"/>
    <w:rsid w:val="005723D6"/>
    <w:rsid w:val="00574657"/>
    <w:rsid w:val="00574B27"/>
    <w:rsid w:val="00575C0E"/>
    <w:rsid w:val="00575E90"/>
    <w:rsid w:val="00577924"/>
    <w:rsid w:val="005779C4"/>
    <w:rsid w:val="00580307"/>
    <w:rsid w:val="0058139E"/>
    <w:rsid w:val="005843D2"/>
    <w:rsid w:val="00584907"/>
    <w:rsid w:val="005867D1"/>
    <w:rsid w:val="00587407"/>
    <w:rsid w:val="00587ECD"/>
    <w:rsid w:val="005907BE"/>
    <w:rsid w:val="00592A26"/>
    <w:rsid w:val="00594117"/>
    <w:rsid w:val="005946BD"/>
    <w:rsid w:val="005967F1"/>
    <w:rsid w:val="005976D2"/>
    <w:rsid w:val="005A06F7"/>
    <w:rsid w:val="005A0B9F"/>
    <w:rsid w:val="005A0FC7"/>
    <w:rsid w:val="005A168C"/>
    <w:rsid w:val="005A3305"/>
    <w:rsid w:val="005A431C"/>
    <w:rsid w:val="005A465E"/>
    <w:rsid w:val="005A5F3B"/>
    <w:rsid w:val="005A64C2"/>
    <w:rsid w:val="005A7BAE"/>
    <w:rsid w:val="005B02FE"/>
    <w:rsid w:val="005B0D60"/>
    <w:rsid w:val="005B22C3"/>
    <w:rsid w:val="005B2615"/>
    <w:rsid w:val="005B3603"/>
    <w:rsid w:val="005B389B"/>
    <w:rsid w:val="005B5A49"/>
    <w:rsid w:val="005B5E89"/>
    <w:rsid w:val="005B7459"/>
    <w:rsid w:val="005C01DB"/>
    <w:rsid w:val="005C0D2F"/>
    <w:rsid w:val="005C35BF"/>
    <w:rsid w:val="005C4C58"/>
    <w:rsid w:val="005C56E8"/>
    <w:rsid w:val="005C6E7F"/>
    <w:rsid w:val="005C73E0"/>
    <w:rsid w:val="005C7F03"/>
    <w:rsid w:val="005D0645"/>
    <w:rsid w:val="005D326E"/>
    <w:rsid w:val="005D4677"/>
    <w:rsid w:val="005D5EC1"/>
    <w:rsid w:val="005D720C"/>
    <w:rsid w:val="005D7C1C"/>
    <w:rsid w:val="005E2135"/>
    <w:rsid w:val="005E29CA"/>
    <w:rsid w:val="005E3412"/>
    <w:rsid w:val="005E4A21"/>
    <w:rsid w:val="005E5A73"/>
    <w:rsid w:val="005E5B39"/>
    <w:rsid w:val="005E7D15"/>
    <w:rsid w:val="005F0B44"/>
    <w:rsid w:val="005F1211"/>
    <w:rsid w:val="005F580E"/>
    <w:rsid w:val="005F5877"/>
    <w:rsid w:val="005F663E"/>
    <w:rsid w:val="005F670D"/>
    <w:rsid w:val="005F6909"/>
    <w:rsid w:val="005F6D80"/>
    <w:rsid w:val="005F72D3"/>
    <w:rsid w:val="005F743E"/>
    <w:rsid w:val="005F74DA"/>
    <w:rsid w:val="005F751C"/>
    <w:rsid w:val="005F7B98"/>
    <w:rsid w:val="00600560"/>
    <w:rsid w:val="006017F7"/>
    <w:rsid w:val="006022B6"/>
    <w:rsid w:val="006027B3"/>
    <w:rsid w:val="00602C3A"/>
    <w:rsid w:val="00603D67"/>
    <w:rsid w:val="00604A11"/>
    <w:rsid w:val="00605AF2"/>
    <w:rsid w:val="00606BE7"/>
    <w:rsid w:val="00606F89"/>
    <w:rsid w:val="0061117B"/>
    <w:rsid w:val="00611586"/>
    <w:rsid w:val="0061209D"/>
    <w:rsid w:val="006123D1"/>
    <w:rsid w:val="00612B51"/>
    <w:rsid w:val="006133D1"/>
    <w:rsid w:val="0061443D"/>
    <w:rsid w:val="006154C6"/>
    <w:rsid w:val="00616ADD"/>
    <w:rsid w:val="00616CB5"/>
    <w:rsid w:val="0061703C"/>
    <w:rsid w:val="0062073C"/>
    <w:rsid w:val="00620758"/>
    <w:rsid w:val="006214FC"/>
    <w:rsid w:val="006215FD"/>
    <w:rsid w:val="00621659"/>
    <w:rsid w:val="006219B7"/>
    <w:rsid w:val="006226D4"/>
    <w:rsid w:val="006234EC"/>
    <w:rsid w:val="00623FD7"/>
    <w:rsid w:val="0062454A"/>
    <w:rsid w:val="0062488C"/>
    <w:rsid w:val="00624A32"/>
    <w:rsid w:val="006275A9"/>
    <w:rsid w:val="00627E8E"/>
    <w:rsid w:val="00630B8D"/>
    <w:rsid w:val="006315AD"/>
    <w:rsid w:val="0063281F"/>
    <w:rsid w:val="00636987"/>
    <w:rsid w:val="00637E64"/>
    <w:rsid w:val="0064097B"/>
    <w:rsid w:val="00640F36"/>
    <w:rsid w:val="006424EF"/>
    <w:rsid w:val="00643651"/>
    <w:rsid w:val="006437C4"/>
    <w:rsid w:val="00643C71"/>
    <w:rsid w:val="00644670"/>
    <w:rsid w:val="0064507E"/>
    <w:rsid w:val="00646017"/>
    <w:rsid w:val="006479AE"/>
    <w:rsid w:val="00651D95"/>
    <w:rsid w:val="0065254A"/>
    <w:rsid w:val="006525CA"/>
    <w:rsid w:val="00652D08"/>
    <w:rsid w:val="00654E73"/>
    <w:rsid w:val="0065601D"/>
    <w:rsid w:val="00656E7B"/>
    <w:rsid w:val="00660A62"/>
    <w:rsid w:val="00661EC4"/>
    <w:rsid w:val="00662047"/>
    <w:rsid w:val="006623B8"/>
    <w:rsid w:val="00662F9B"/>
    <w:rsid w:val="006634D1"/>
    <w:rsid w:val="00663920"/>
    <w:rsid w:val="00664947"/>
    <w:rsid w:val="00664CCF"/>
    <w:rsid w:val="00666230"/>
    <w:rsid w:val="006675AE"/>
    <w:rsid w:val="00672F55"/>
    <w:rsid w:val="006733A4"/>
    <w:rsid w:val="00673B6D"/>
    <w:rsid w:val="006741DC"/>
    <w:rsid w:val="00674B5A"/>
    <w:rsid w:val="006753D2"/>
    <w:rsid w:val="006755B6"/>
    <w:rsid w:val="00677868"/>
    <w:rsid w:val="00681644"/>
    <w:rsid w:val="006824B5"/>
    <w:rsid w:val="006832EB"/>
    <w:rsid w:val="00683A8F"/>
    <w:rsid w:val="0068565B"/>
    <w:rsid w:val="00685D77"/>
    <w:rsid w:val="0068628B"/>
    <w:rsid w:val="0068647C"/>
    <w:rsid w:val="006866A4"/>
    <w:rsid w:val="0069036F"/>
    <w:rsid w:val="00690B82"/>
    <w:rsid w:val="006910FA"/>
    <w:rsid w:val="0069291B"/>
    <w:rsid w:val="00694186"/>
    <w:rsid w:val="0069436B"/>
    <w:rsid w:val="006954F6"/>
    <w:rsid w:val="0069574B"/>
    <w:rsid w:val="006A24C5"/>
    <w:rsid w:val="006A3AF3"/>
    <w:rsid w:val="006A405E"/>
    <w:rsid w:val="006A5991"/>
    <w:rsid w:val="006A5D24"/>
    <w:rsid w:val="006A5DDE"/>
    <w:rsid w:val="006A61D2"/>
    <w:rsid w:val="006A6C7C"/>
    <w:rsid w:val="006A7CF9"/>
    <w:rsid w:val="006B016D"/>
    <w:rsid w:val="006B456B"/>
    <w:rsid w:val="006B5841"/>
    <w:rsid w:val="006B6920"/>
    <w:rsid w:val="006B71BD"/>
    <w:rsid w:val="006C0746"/>
    <w:rsid w:val="006C15E7"/>
    <w:rsid w:val="006C35C3"/>
    <w:rsid w:val="006C39D7"/>
    <w:rsid w:val="006C3D61"/>
    <w:rsid w:val="006C5365"/>
    <w:rsid w:val="006C6210"/>
    <w:rsid w:val="006C6CDA"/>
    <w:rsid w:val="006D0A15"/>
    <w:rsid w:val="006D1A30"/>
    <w:rsid w:val="006D2D1C"/>
    <w:rsid w:val="006D2E1F"/>
    <w:rsid w:val="006D3012"/>
    <w:rsid w:val="006D35C7"/>
    <w:rsid w:val="006D3804"/>
    <w:rsid w:val="006D6A22"/>
    <w:rsid w:val="006D6F57"/>
    <w:rsid w:val="006D75E8"/>
    <w:rsid w:val="006D75EA"/>
    <w:rsid w:val="006E0B06"/>
    <w:rsid w:val="006E0B3B"/>
    <w:rsid w:val="006E2107"/>
    <w:rsid w:val="006E2451"/>
    <w:rsid w:val="006E2555"/>
    <w:rsid w:val="006E2B51"/>
    <w:rsid w:val="006E394E"/>
    <w:rsid w:val="006E5654"/>
    <w:rsid w:val="006E75EB"/>
    <w:rsid w:val="006E763F"/>
    <w:rsid w:val="006F10E7"/>
    <w:rsid w:val="006F14D7"/>
    <w:rsid w:val="006F1F23"/>
    <w:rsid w:val="006F2342"/>
    <w:rsid w:val="006F2A9E"/>
    <w:rsid w:val="006F3517"/>
    <w:rsid w:val="006F3937"/>
    <w:rsid w:val="006F3AAA"/>
    <w:rsid w:val="006F427F"/>
    <w:rsid w:val="006F481C"/>
    <w:rsid w:val="006F5002"/>
    <w:rsid w:val="006F5867"/>
    <w:rsid w:val="006F657E"/>
    <w:rsid w:val="006F7A29"/>
    <w:rsid w:val="007000CC"/>
    <w:rsid w:val="00701269"/>
    <w:rsid w:val="00702BDA"/>
    <w:rsid w:val="007030CD"/>
    <w:rsid w:val="007032D9"/>
    <w:rsid w:val="00704F6D"/>
    <w:rsid w:val="00705B98"/>
    <w:rsid w:val="007065B2"/>
    <w:rsid w:val="007078E8"/>
    <w:rsid w:val="00707FCB"/>
    <w:rsid w:val="00710DF3"/>
    <w:rsid w:val="0071113A"/>
    <w:rsid w:val="00711CCE"/>
    <w:rsid w:val="00712C70"/>
    <w:rsid w:val="00712D70"/>
    <w:rsid w:val="00713634"/>
    <w:rsid w:val="00713FCB"/>
    <w:rsid w:val="00714D1D"/>
    <w:rsid w:val="007155C3"/>
    <w:rsid w:val="00715FE9"/>
    <w:rsid w:val="00720647"/>
    <w:rsid w:val="00721643"/>
    <w:rsid w:val="00721ED9"/>
    <w:rsid w:val="00722139"/>
    <w:rsid w:val="00722FB5"/>
    <w:rsid w:val="00723782"/>
    <w:rsid w:val="00723E94"/>
    <w:rsid w:val="00724D3D"/>
    <w:rsid w:val="00725DBF"/>
    <w:rsid w:val="007279FF"/>
    <w:rsid w:val="0073042F"/>
    <w:rsid w:val="00730434"/>
    <w:rsid w:val="00731190"/>
    <w:rsid w:val="00731F7E"/>
    <w:rsid w:val="00732DC7"/>
    <w:rsid w:val="007333C2"/>
    <w:rsid w:val="00733C14"/>
    <w:rsid w:val="007348DF"/>
    <w:rsid w:val="007357EE"/>
    <w:rsid w:val="007358F1"/>
    <w:rsid w:val="007362BD"/>
    <w:rsid w:val="00736B3D"/>
    <w:rsid w:val="00736C3D"/>
    <w:rsid w:val="00740EE0"/>
    <w:rsid w:val="00741C49"/>
    <w:rsid w:val="00741F73"/>
    <w:rsid w:val="007430FD"/>
    <w:rsid w:val="0074369C"/>
    <w:rsid w:val="0074414C"/>
    <w:rsid w:val="00746D11"/>
    <w:rsid w:val="00746FD1"/>
    <w:rsid w:val="0074702C"/>
    <w:rsid w:val="0074743C"/>
    <w:rsid w:val="00747768"/>
    <w:rsid w:val="007503EB"/>
    <w:rsid w:val="00750625"/>
    <w:rsid w:val="00750954"/>
    <w:rsid w:val="007513F1"/>
    <w:rsid w:val="007518D4"/>
    <w:rsid w:val="00752A33"/>
    <w:rsid w:val="00752C24"/>
    <w:rsid w:val="007553B9"/>
    <w:rsid w:val="007554CF"/>
    <w:rsid w:val="00755515"/>
    <w:rsid w:val="007570C4"/>
    <w:rsid w:val="007604D8"/>
    <w:rsid w:val="007613C0"/>
    <w:rsid w:val="007618EF"/>
    <w:rsid w:val="007632E4"/>
    <w:rsid w:val="00764BDE"/>
    <w:rsid w:val="007666B7"/>
    <w:rsid w:val="007670E6"/>
    <w:rsid w:val="00772B02"/>
    <w:rsid w:val="00773516"/>
    <w:rsid w:val="00773E8E"/>
    <w:rsid w:val="00773F22"/>
    <w:rsid w:val="007759B9"/>
    <w:rsid w:val="00776045"/>
    <w:rsid w:val="007769F1"/>
    <w:rsid w:val="00776CCF"/>
    <w:rsid w:val="0078131C"/>
    <w:rsid w:val="00781ADF"/>
    <w:rsid w:val="00781DB6"/>
    <w:rsid w:val="007855C6"/>
    <w:rsid w:val="00785F6B"/>
    <w:rsid w:val="0078656F"/>
    <w:rsid w:val="00786CD5"/>
    <w:rsid w:val="00786FFC"/>
    <w:rsid w:val="0078734B"/>
    <w:rsid w:val="00787723"/>
    <w:rsid w:val="00787C4C"/>
    <w:rsid w:val="007958FB"/>
    <w:rsid w:val="00795B15"/>
    <w:rsid w:val="00795FF4"/>
    <w:rsid w:val="0079634A"/>
    <w:rsid w:val="00796B94"/>
    <w:rsid w:val="00796C4C"/>
    <w:rsid w:val="007971D9"/>
    <w:rsid w:val="007A03FA"/>
    <w:rsid w:val="007A05C9"/>
    <w:rsid w:val="007A1097"/>
    <w:rsid w:val="007A18A9"/>
    <w:rsid w:val="007A1FEE"/>
    <w:rsid w:val="007A34D2"/>
    <w:rsid w:val="007A4356"/>
    <w:rsid w:val="007A5213"/>
    <w:rsid w:val="007A548C"/>
    <w:rsid w:val="007A5576"/>
    <w:rsid w:val="007A5846"/>
    <w:rsid w:val="007A76C5"/>
    <w:rsid w:val="007B055C"/>
    <w:rsid w:val="007B1620"/>
    <w:rsid w:val="007B18FF"/>
    <w:rsid w:val="007B1C5B"/>
    <w:rsid w:val="007B4044"/>
    <w:rsid w:val="007B4D5D"/>
    <w:rsid w:val="007B62D4"/>
    <w:rsid w:val="007B6E72"/>
    <w:rsid w:val="007B6FEC"/>
    <w:rsid w:val="007B71FC"/>
    <w:rsid w:val="007B7A4B"/>
    <w:rsid w:val="007C05C3"/>
    <w:rsid w:val="007C104A"/>
    <w:rsid w:val="007C358A"/>
    <w:rsid w:val="007C3B74"/>
    <w:rsid w:val="007C4424"/>
    <w:rsid w:val="007C4AAC"/>
    <w:rsid w:val="007C58D7"/>
    <w:rsid w:val="007C5AED"/>
    <w:rsid w:val="007C779C"/>
    <w:rsid w:val="007D11F9"/>
    <w:rsid w:val="007D19ED"/>
    <w:rsid w:val="007D1F90"/>
    <w:rsid w:val="007D258A"/>
    <w:rsid w:val="007D3A2F"/>
    <w:rsid w:val="007D52A2"/>
    <w:rsid w:val="007D53F1"/>
    <w:rsid w:val="007D5BA4"/>
    <w:rsid w:val="007D6101"/>
    <w:rsid w:val="007D692B"/>
    <w:rsid w:val="007D6BB2"/>
    <w:rsid w:val="007D7EE0"/>
    <w:rsid w:val="007E0333"/>
    <w:rsid w:val="007E0BDF"/>
    <w:rsid w:val="007E1D36"/>
    <w:rsid w:val="007E2A84"/>
    <w:rsid w:val="007E53CD"/>
    <w:rsid w:val="007E6E1F"/>
    <w:rsid w:val="007E6EC1"/>
    <w:rsid w:val="007F0375"/>
    <w:rsid w:val="007F0E99"/>
    <w:rsid w:val="007F131D"/>
    <w:rsid w:val="007F1A45"/>
    <w:rsid w:val="007F307A"/>
    <w:rsid w:val="007F38CF"/>
    <w:rsid w:val="007F40A5"/>
    <w:rsid w:val="007F5C20"/>
    <w:rsid w:val="007F5D2D"/>
    <w:rsid w:val="007F6906"/>
    <w:rsid w:val="007F7026"/>
    <w:rsid w:val="007F7123"/>
    <w:rsid w:val="00801357"/>
    <w:rsid w:val="008019BE"/>
    <w:rsid w:val="00801E30"/>
    <w:rsid w:val="008023C7"/>
    <w:rsid w:val="00803BE0"/>
    <w:rsid w:val="00804D10"/>
    <w:rsid w:val="008058BC"/>
    <w:rsid w:val="00805CB6"/>
    <w:rsid w:val="00807AAE"/>
    <w:rsid w:val="00807F81"/>
    <w:rsid w:val="00810654"/>
    <w:rsid w:val="008119FB"/>
    <w:rsid w:val="0081309C"/>
    <w:rsid w:val="0081657E"/>
    <w:rsid w:val="00816B6E"/>
    <w:rsid w:val="00816BFA"/>
    <w:rsid w:val="0081745C"/>
    <w:rsid w:val="0081791B"/>
    <w:rsid w:val="008200CE"/>
    <w:rsid w:val="00820828"/>
    <w:rsid w:val="0082115D"/>
    <w:rsid w:val="0082129A"/>
    <w:rsid w:val="00821756"/>
    <w:rsid w:val="008222DE"/>
    <w:rsid w:val="00823A3E"/>
    <w:rsid w:val="00823E1C"/>
    <w:rsid w:val="008253EE"/>
    <w:rsid w:val="00830219"/>
    <w:rsid w:val="00830BB7"/>
    <w:rsid w:val="008328F8"/>
    <w:rsid w:val="0083292F"/>
    <w:rsid w:val="00833041"/>
    <w:rsid w:val="00833B72"/>
    <w:rsid w:val="00834573"/>
    <w:rsid w:val="0083500D"/>
    <w:rsid w:val="008367D9"/>
    <w:rsid w:val="0084222F"/>
    <w:rsid w:val="00842AAA"/>
    <w:rsid w:val="00842BBD"/>
    <w:rsid w:val="00842E47"/>
    <w:rsid w:val="008434C2"/>
    <w:rsid w:val="00846027"/>
    <w:rsid w:val="008460CD"/>
    <w:rsid w:val="0084624D"/>
    <w:rsid w:val="008463F2"/>
    <w:rsid w:val="008467EC"/>
    <w:rsid w:val="008516BB"/>
    <w:rsid w:val="00852FE6"/>
    <w:rsid w:val="00853C17"/>
    <w:rsid w:val="00853CC7"/>
    <w:rsid w:val="0085452A"/>
    <w:rsid w:val="0085457A"/>
    <w:rsid w:val="00855F52"/>
    <w:rsid w:val="008568D0"/>
    <w:rsid w:val="00856B9D"/>
    <w:rsid w:val="00857B71"/>
    <w:rsid w:val="0086109C"/>
    <w:rsid w:val="00861873"/>
    <w:rsid w:val="0086227A"/>
    <w:rsid w:val="00862399"/>
    <w:rsid w:val="008636F1"/>
    <w:rsid w:val="00863A53"/>
    <w:rsid w:val="00863CCC"/>
    <w:rsid w:val="00863EEE"/>
    <w:rsid w:val="00864D67"/>
    <w:rsid w:val="0086514D"/>
    <w:rsid w:val="008651BE"/>
    <w:rsid w:val="0086607C"/>
    <w:rsid w:val="00867F57"/>
    <w:rsid w:val="00870492"/>
    <w:rsid w:val="00870A8C"/>
    <w:rsid w:val="00872D9E"/>
    <w:rsid w:val="00874528"/>
    <w:rsid w:val="00874AF8"/>
    <w:rsid w:val="00875110"/>
    <w:rsid w:val="00875514"/>
    <w:rsid w:val="00875B8D"/>
    <w:rsid w:val="008762BA"/>
    <w:rsid w:val="00877289"/>
    <w:rsid w:val="00877B19"/>
    <w:rsid w:val="00877F99"/>
    <w:rsid w:val="008805D1"/>
    <w:rsid w:val="00880B2A"/>
    <w:rsid w:val="008819AB"/>
    <w:rsid w:val="00882EC3"/>
    <w:rsid w:val="0088464C"/>
    <w:rsid w:val="0088734E"/>
    <w:rsid w:val="00887D74"/>
    <w:rsid w:val="008912C6"/>
    <w:rsid w:val="00891817"/>
    <w:rsid w:val="00891FBB"/>
    <w:rsid w:val="00892546"/>
    <w:rsid w:val="00893665"/>
    <w:rsid w:val="008938EF"/>
    <w:rsid w:val="008A0E46"/>
    <w:rsid w:val="008A24A5"/>
    <w:rsid w:val="008A2B28"/>
    <w:rsid w:val="008A2E77"/>
    <w:rsid w:val="008A4962"/>
    <w:rsid w:val="008A5C0C"/>
    <w:rsid w:val="008A5D4E"/>
    <w:rsid w:val="008A61BE"/>
    <w:rsid w:val="008A6292"/>
    <w:rsid w:val="008A6A9F"/>
    <w:rsid w:val="008A6E8B"/>
    <w:rsid w:val="008A7D84"/>
    <w:rsid w:val="008B11C4"/>
    <w:rsid w:val="008B36BB"/>
    <w:rsid w:val="008B3752"/>
    <w:rsid w:val="008B4D9C"/>
    <w:rsid w:val="008B56CA"/>
    <w:rsid w:val="008B5860"/>
    <w:rsid w:val="008B66AF"/>
    <w:rsid w:val="008B716F"/>
    <w:rsid w:val="008C08D9"/>
    <w:rsid w:val="008C3232"/>
    <w:rsid w:val="008C3632"/>
    <w:rsid w:val="008C3CF2"/>
    <w:rsid w:val="008C4F0E"/>
    <w:rsid w:val="008C5555"/>
    <w:rsid w:val="008C65A6"/>
    <w:rsid w:val="008C7888"/>
    <w:rsid w:val="008C7A02"/>
    <w:rsid w:val="008D1361"/>
    <w:rsid w:val="008D179E"/>
    <w:rsid w:val="008D27A8"/>
    <w:rsid w:val="008D303E"/>
    <w:rsid w:val="008D383A"/>
    <w:rsid w:val="008D3EA0"/>
    <w:rsid w:val="008D4081"/>
    <w:rsid w:val="008D4425"/>
    <w:rsid w:val="008D4D8C"/>
    <w:rsid w:val="008D53EC"/>
    <w:rsid w:val="008D5C15"/>
    <w:rsid w:val="008D668B"/>
    <w:rsid w:val="008D6695"/>
    <w:rsid w:val="008D7073"/>
    <w:rsid w:val="008D762D"/>
    <w:rsid w:val="008E0DA4"/>
    <w:rsid w:val="008E4544"/>
    <w:rsid w:val="008E4662"/>
    <w:rsid w:val="008E48B9"/>
    <w:rsid w:val="008F0937"/>
    <w:rsid w:val="008F2582"/>
    <w:rsid w:val="008F2F2F"/>
    <w:rsid w:val="008F4B27"/>
    <w:rsid w:val="008F5415"/>
    <w:rsid w:val="008F5CD9"/>
    <w:rsid w:val="008F7CF2"/>
    <w:rsid w:val="00900D6A"/>
    <w:rsid w:val="00904EC9"/>
    <w:rsid w:val="00904F71"/>
    <w:rsid w:val="0090659B"/>
    <w:rsid w:val="009070CF"/>
    <w:rsid w:val="0091015E"/>
    <w:rsid w:val="009107E4"/>
    <w:rsid w:val="009108D0"/>
    <w:rsid w:val="009165BA"/>
    <w:rsid w:val="00916EAA"/>
    <w:rsid w:val="00917546"/>
    <w:rsid w:val="00917B67"/>
    <w:rsid w:val="00921412"/>
    <w:rsid w:val="009215C4"/>
    <w:rsid w:val="00921D40"/>
    <w:rsid w:val="009222F2"/>
    <w:rsid w:val="00922468"/>
    <w:rsid w:val="0092291A"/>
    <w:rsid w:val="00922BFE"/>
    <w:rsid w:val="00922F2E"/>
    <w:rsid w:val="00923CF5"/>
    <w:rsid w:val="0093034A"/>
    <w:rsid w:val="009305AD"/>
    <w:rsid w:val="00931931"/>
    <w:rsid w:val="009322CA"/>
    <w:rsid w:val="00932691"/>
    <w:rsid w:val="00934C84"/>
    <w:rsid w:val="00934C92"/>
    <w:rsid w:val="00934FF9"/>
    <w:rsid w:val="00935FE5"/>
    <w:rsid w:val="00941132"/>
    <w:rsid w:val="00941D15"/>
    <w:rsid w:val="00944CA4"/>
    <w:rsid w:val="009452A1"/>
    <w:rsid w:val="00945C33"/>
    <w:rsid w:val="00945FE6"/>
    <w:rsid w:val="0094626D"/>
    <w:rsid w:val="009464C9"/>
    <w:rsid w:val="00951AE6"/>
    <w:rsid w:val="00951EF6"/>
    <w:rsid w:val="009522B6"/>
    <w:rsid w:val="00952836"/>
    <w:rsid w:val="0095386E"/>
    <w:rsid w:val="00954409"/>
    <w:rsid w:val="009546E1"/>
    <w:rsid w:val="00956037"/>
    <w:rsid w:val="00956B4E"/>
    <w:rsid w:val="00956F40"/>
    <w:rsid w:val="00960289"/>
    <w:rsid w:val="009607B7"/>
    <w:rsid w:val="009611C8"/>
    <w:rsid w:val="00961453"/>
    <w:rsid w:val="00962551"/>
    <w:rsid w:val="00963316"/>
    <w:rsid w:val="009646FB"/>
    <w:rsid w:val="009648F8"/>
    <w:rsid w:val="00966A89"/>
    <w:rsid w:val="00970BBB"/>
    <w:rsid w:val="00971584"/>
    <w:rsid w:val="009716DC"/>
    <w:rsid w:val="00972135"/>
    <w:rsid w:val="009724FA"/>
    <w:rsid w:val="00972A3E"/>
    <w:rsid w:val="00972B2A"/>
    <w:rsid w:val="00974294"/>
    <w:rsid w:val="009743D5"/>
    <w:rsid w:val="0097448B"/>
    <w:rsid w:val="009751CA"/>
    <w:rsid w:val="009755BE"/>
    <w:rsid w:val="00976DA4"/>
    <w:rsid w:val="009775D0"/>
    <w:rsid w:val="00977859"/>
    <w:rsid w:val="009825F1"/>
    <w:rsid w:val="009826EB"/>
    <w:rsid w:val="00982F57"/>
    <w:rsid w:val="009856A1"/>
    <w:rsid w:val="00986004"/>
    <w:rsid w:val="00990412"/>
    <w:rsid w:val="00990445"/>
    <w:rsid w:val="00992B41"/>
    <w:rsid w:val="00994E2E"/>
    <w:rsid w:val="00995C2E"/>
    <w:rsid w:val="009977DC"/>
    <w:rsid w:val="00997FAE"/>
    <w:rsid w:val="009A0274"/>
    <w:rsid w:val="009A0F49"/>
    <w:rsid w:val="009A1054"/>
    <w:rsid w:val="009A191A"/>
    <w:rsid w:val="009A1BC0"/>
    <w:rsid w:val="009A1EC5"/>
    <w:rsid w:val="009A298C"/>
    <w:rsid w:val="009A35A0"/>
    <w:rsid w:val="009A3A75"/>
    <w:rsid w:val="009A3C50"/>
    <w:rsid w:val="009A4378"/>
    <w:rsid w:val="009A48D7"/>
    <w:rsid w:val="009A63D8"/>
    <w:rsid w:val="009A64F2"/>
    <w:rsid w:val="009A689D"/>
    <w:rsid w:val="009A6A23"/>
    <w:rsid w:val="009B10CA"/>
    <w:rsid w:val="009B1CBA"/>
    <w:rsid w:val="009B1D61"/>
    <w:rsid w:val="009B1EE6"/>
    <w:rsid w:val="009B1FB9"/>
    <w:rsid w:val="009B237F"/>
    <w:rsid w:val="009B29D5"/>
    <w:rsid w:val="009B3080"/>
    <w:rsid w:val="009B3831"/>
    <w:rsid w:val="009B5147"/>
    <w:rsid w:val="009B55B6"/>
    <w:rsid w:val="009B5B28"/>
    <w:rsid w:val="009B5E7E"/>
    <w:rsid w:val="009B6696"/>
    <w:rsid w:val="009B6888"/>
    <w:rsid w:val="009B7BD2"/>
    <w:rsid w:val="009B7F80"/>
    <w:rsid w:val="009C0769"/>
    <w:rsid w:val="009C0CC6"/>
    <w:rsid w:val="009C1173"/>
    <w:rsid w:val="009C20E7"/>
    <w:rsid w:val="009C283D"/>
    <w:rsid w:val="009C2C9B"/>
    <w:rsid w:val="009C329B"/>
    <w:rsid w:val="009C451C"/>
    <w:rsid w:val="009C6F91"/>
    <w:rsid w:val="009D0818"/>
    <w:rsid w:val="009D19BC"/>
    <w:rsid w:val="009D205E"/>
    <w:rsid w:val="009D2B18"/>
    <w:rsid w:val="009D57BE"/>
    <w:rsid w:val="009D5A77"/>
    <w:rsid w:val="009D5DEB"/>
    <w:rsid w:val="009D623A"/>
    <w:rsid w:val="009D671D"/>
    <w:rsid w:val="009D70F8"/>
    <w:rsid w:val="009D7B9C"/>
    <w:rsid w:val="009D7DBC"/>
    <w:rsid w:val="009E006C"/>
    <w:rsid w:val="009E07D7"/>
    <w:rsid w:val="009E25E5"/>
    <w:rsid w:val="009E2C2B"/>
    <w:rsid w:val="009E35B7"/>
    <w:rsid w:val="009E5A8A"/>
    <w:rsid w:val="009E5F65"/>
    <w:rsid w:val="009E6536"/>
    <w:rsid w:val="009E70EF"/>
    <w:rsid w:val="009E722D"/>
    <w:rsid w:val="009E7985"/>
    <w:rsid w:val="009F0F01"/>
    <w:rsid w:val="009F31AC"/>
    <w:rsid w:val="009F3A13"/>
    <w:rsid w:val="009F3D67"/>
    <w:rsid w:val="009F3E32"/>
    <w:rsid w:val="009F500D"/>
    <w:rsid w:val="009F6CEE"/>
    <w:rsid w:val="009F7836"/>
    <w:rsid w:val="00A0060A"/>
    <w:rsid w:val="00A00FB4"/>
    <w:rsid w:val="00A02231"/>
    <w:rsid w:val="00A024B4"/>
    <w:rsid w:val="00A02B17"/>
    <w:rsid w:val="00A02C7A"/>
    <w:rsid w:val="00A040F1"/>
    <w:rsid w:val="00A050FC"/>
    <w:rsid w:val="00A10E83"/>
    <w:rsid w:val="00A11ADB"/>
    <w:rsid w:val="00A125CA"/>
    <w:rsid w:val="00A12BF8"/>
    <w:rsid w:val="00A13ACC"/>
    <w:rsid w:val="00A14448"/>
    <w:rsid w:val="00A14473"/>
    <w:rsid w:val="00A14974"/>
    <w:rsid w:val="00A14ACA"/>
    <w:rsid w:val="00A1566C"/>
    <w:rsid w:val="00A15939"/>
    <w:rsid w:val="00A15E8B"/>
    <w:rsid w:val="00A161E6"/>
    <w:rsid w:val="00A1629D"/>
    <w:rsid w:val="00A166CB"/>
    <w:rsid w:val="00A22A71"/>
    <w:rsid w:val="00A2310C"/>
    <w:rsid w:val="00A23434"/>
    <w:rsid w:val="00A23435"/>
    <w:rsid w:val="00A2371A"/>
    <w:rsid w:val="00A2381F"/>
    <w:rsid w:val="00A24646"/>
    <w:rsid w:val="00A260FD"/>
    <w:rsid w:val="00A2625A"/>
    <w:rsid w:val="00A26484"/>
    <w:rsid w:val="00A2717C"/>
    <w:rsid w:val="00A273EE"/>
    <w:rsid w:val="00A27BA9"/>
    <w:rsid w:val="00A27DA4"/>
    <w:rsid w:val="00A31894"/>
    <w:rsid w:val="00A319A9"/>
    <w:rsid w:val="00A31AF6"/>
    <w:rsid w:val="00A32825"/>
    <w:rsid w:val="00A33743"/>
    <w:rsid w:val="00A34275"/>
    <w:rsid w:val="00A35521"/>
    <w:rsid w:val="00A360D9"/>
    <w:rsid w:val="00A3692C"/>
    <w:rsid w:val="00A376DB"/>
    <w:rsid w:val="00A42499"/>
    <w:rsid w:val="00A425E9"/>
    <w:rsid w:val="00A43273"/>
    <w:rsid w:val="00A4409C"/>
    <w:rsid w:val="00A440C5"/>
    <w:rsid w:val="00A4749F"/>
    <w:rsid w:val="00A508AD"/>
    <w:rsid w:val="00A50E23"/>
    <w:rsid w:val="00A515B8"/>
    <w:rsid w:val="00A51893"/>
    <w:rsid w:val="00A52A81"/>
    <w:rsid w:val="00A5359E"/>
    <w:rsid w:val="00A545F8"/>
    <w:rsid w:val="00A54726"/>
    <w:rsid w:val="00A54F03"/>
    <w:rsid w:val="00A558A1"/>
    <w:rsid w:val="00A564F8"/>
    <w:rsid w:val="00A57528"/>
    <w:rsid w:val="00A57B8C"/>
    <w:rsid w:val="00A60019"/>
    <w:rsid w:val="00A61DC0"/>
    <w:rsid w:val="00A62147"/>
    <w:rsid w:val="00A6260D"/>
    <w:rsid w:val="00A63891"/>
    <w:rsid w:val="00A63F38"/>
    <w:rsid w:val="00A64705"/>
    <w:rsid w:val="00A65048"/>
    <w:rsid w:val="00A66246"/>
    <w:rsid w:val="00A66435"/>
    <w:rsid w:val="00A668D9"/>
    <w:rsid w:val="00A66BF7"/>
    <w:rsid w:val="00A71935"/>
    <w:rsid w:val="00A719BF"/>
    <w:rsid w:val="00A71AF9"/>
    <w:rsid w:val="00A72676"/>
    <w:rsid w:val="00A75C4E"/>
    <w:rsid w:val="00A76239"/>
    <w:rsid w:val="00A77136"/>
    <w:rsid w:val="00A82A36"/>
    <w:rsid w:val="00A8371C"/>
    <w:rsid w:val="00A83FCC"/>
    <w:rsid w:val="00A84991"/>
    <w:rsid w:val="00A84D03"/>
    <w:rsid w:val="00A85A2F"/>
    <w:rsid w:val="00A85BB4"/>
    <w:rsid w:val="00A86451"/>
    <w:rsid w:val="00A87AF6"/>
    <w:rsid w:val="00A90584"/>
    <w:rsid w:val="00A90D91"/>
    <w:rsid w:val="00A90DAF"/>
    <w:rsid w:val="00A91674"/>
    <w:rsid w:val="00A917E2"/>
    <w:rsid w:val="00A9203A"/>
    <w:rsid w:val="00A9306E"/>
    <w:rsid w:val="00A9308B"/>
    <w:rsid w:val="00A93E94"/>
    <w:rsid w:val="00A975A5"/>
    <w:rsid w:val="00AA29CA"/>
    <w:rsid w:val="00AA39E0"/>
    <w:rsid w:val="00AA4171"/>
    <w:rsid w:val="00AA47AB"/>
    <w:rsid w:val="00AA4997"/>
    <w:rsid w:val="00AA5D86"/>
    <w:rsid w:val="00AA60DE"/>
    <w:rsid w:val="00AA68D7"/>
    <w:rsid w:val="00AB0607"/>
    <w:rsid w:val="00AB0ABC"/>
    <w:rsid w:val="00AB26EE"/>
    <w:rsid w:val="00AB2AE9"/>
    <w:rsid w:val="00AB3607"/>
    <w:rsid w:val="00AB364A"/>
    <w:rsid w:val="00AB452E"/>
    <w:rsid w:val="00AB4EF6"/>
    <w:rsid w:val="00AB52DD"/>
    <w:rsid w:val="00AB5B02"/>
    <w:rsid w:val="00AB5CF6"/>
    <w:rsid w:val="00AB5E69"/>
    <w:rsid w:val="00AB5F51"/>
    <w:rsid w:val="00AC0DA0"/>
    <w:rsid w:val="00AC1DBD"/>
    <w:rsid w:val="00AC3394"/>
    <w:rsid w:val="00AC33B9"/>
    <w:rsid w:val="00AC3E9D"/>
    <w:rsid w:val="00AC4967"/>
    <w:rsid w:val="00AC5A41"/>
    <w:rsid w:val="00AC5C85"/>
    <w:rsid w:val="00AC6A20"/>
    <w:rsid w:val="00AC7477"/>
    <w:rsid w:val="00AC74B1"/>
    <w:rsid w:val="00AD1782"/>
    <w:rsid w:val="00AD18B4"/>
    <w:rsid w:val="00AD1D8D"/>
    <w:rsid w:val="00AD2601"/>
    <w:rsid w:val="00AD33DA"/>
    <w:rsid w:val="00AD3935"/>
    <w:rsid w:val="00AD3A86"/>
    <w:rsid w:val="00AD5491"/>
    <w:rsid w:val="00AD65BB"/>
    <w:rsid w:val="00AD6762"/>
    <w:rsid w:val="00AD6D03"/>
    <w:rsid w:val="00AD7BA8"/>
    <w:rsid w:val="00AE0256"/>
    <w:rsid w:val="00AE15BF"/>
    <w:rsid w:val="00AE1A0A"/>
    <w:rsid w:val="00AE30D9"/>
    <w:rsid w:val="00AE3467"/>
    <w:rsid w:val="00AE468D"/>
    <w:rsid w:val="00AE49C2"/>
    <w:rsid w:val="00AE51E8"/>
    <w:rsid w:val="00AE6013"/>
    <w:rsid w:val="00AE791A"/>
    <w:rsid w:val="00AF055D"/>
    <w:rsid w:val="00AF47AA"/>
    <w:rsid w:val="00AF4E1D"/>
    <w:rsid w:val="00AF7263"/>
    <w:rsid w:val="00AF7AEA"/>
    <w:rsid w:val="00B00184"/>
    <w:rsid w:val="00B02C77"/>
    <w:rsid w:val="00B02CA8"/>
    <w:rsid w:val="00B03A6F"/>
    <w:rsid w:val="00B03C41"/>
    <w:rsid w:val="00B03E2B"/>
    <w:rsid w:val="00B07F7E"/>
    <w:rsid w:val="00B11231"/>
    <w:rsid w:val="00B11411"/>
    <w:rsid w:val="00B12375"/>
    <w:rsid w:val="00B13059"/>
    <w:rsid w:val="00B13639"/>
    <w:rsid w:val="00B1386F"/>
    <w:rsid w:val="00B139CF"/>
    <w:rsid w:val="00B14E5E"/>
    <w:rsid w:val="00B17C15"/>
    <w:rsid w:val="00B218A5"/>
    <w:rsid w:val="00B22DDA"/>
    <w:rsid w:val="00B23578"/>
    <w:rsid w:val="00B253A0"/>
    <w:rsid w:val="00B255E6"/>
    <w:rsid w:val="00B2570B"/>
    <w:rsid w:val="00B263AC"/>
    <w:rsid w:val="00B3140F"/>
    <w:rsid w:val="00B32977"/>
    <w:rsid w:val="00B32B26"/>
    <w:rsid w:val="00B32EE9"/>
    <w:rsid w:val="00B33CE5"/>
    <w:rsid w:val="00B33F6B"/>
    <w:rsid w:val="00B34D86"/>
    <w:rsid w:val="00B358F2"/>
    <w:rsid w:val="00B35E72"/>
    <w:rsid w:val="00B36157"/>
    <w:rsid w:val="00B37C0C"/>
    <w:rsid w:val="00B37DC4"/>
    <w:rsid w:val="00B400F9"/>
    <w:rsid w:val="00B40CB7"/>
    <w:rsid w:val="00B41566"/>
    <w:rsid w:val="00B4179A"/>
    <w:rsid w:val="00B439F1"/>
    <w:rsid w:val="00B44EFD"/>
    <w:rsid w:val="00B455B1"/>
    <w:rsid w:val="00B47472"/>
    <w:rsid w:val="00B5096B"/>
    <w:rsid w:val="00B50AEB"/>
    <w:rsid w:val="00B513FC"/>
    <w:rsid w:val="00B5141D"/>
    <w:rsid w:val="00B516BF"/>
    <w:rsid w:val="00B555B5"/>
    <w:rsid w:val="00B57252"/>
    <w:rsid w:val="00B57F25"/>
    <w:rsid w:val="00B6085F"/>
    <w:rsid w:val="00B609E1"/>
    <w:rsid w:val="00B6100C"/>
    <w:rsid w:val="00B61423"/>
    <w:rsid w:val="00B61AE9"/>
    <w:rsid w:val="00B62649"/>
    <w:rsid w:val="00B62838"/>
    <w:rsid w:val="00B62C25"/>
    <w:rsid w:val="00B63A1D"/>
    <w:rsid w:val="00B64598"/>
    <w:rsid w:val="00B650EE"/>
    <w:rsid w:val="00B65BB1"/>
    <w:rsid w:val="00B6657B"/>
    <w:rsid w:val="00B66AA2"/>
    <w:rsid w:val="00B66ECE"/>
    <w:rsid w:val="00B7138C"/>
    <w:rsid w:val="00B71660"/>
    <w:rsid w:val="00B71DDC"/>
    <w:rsid w:val="00B7265F"/>
    <w:rsid w:val="00B726C0"/>
    <w:rsid w:val="00B728F7"/>
    <w:rsid w:val="00B7376D"/>
    <w:rsid w:val="00B741C7"/>
    <w:rsid w:val="00B74926"/>
    <w:rsid w:val="00B74E7B"/>
    <w:rsid w:val="00B753F1"/>
    <w:rsid w:val="00B76070"/>
    <w:rsid w:val="00B76AEA"/>
    <w:rsid w:val="00B76B10"/>
    <w:rsid w:val="00B76BB7"/>
    <w:rsid w:val="00B82109"/>
    <w:rsid w:val="00B873E4"/>
    <w:rsid w:val="00B87583"/>
    <w:rsid w:val="00B87803"/>
    <w:rsid w:val="00B903EA"/>
    <w:rsid w:val="00B90CBE"/>
    <w:rsid w:val="00B90FCE"/>
    <w:rsid w:val="00B91225"/>
    <w:rsid w:val="00B91C4A"/>
    <w:rsid w:val="00B93026"/>
    <w:rsid w:val="00B94690"/>
    <w:rsid w:val="00B94D37"/>
    <w:rsid w:val="00B95899"/>
    <w:rsid w:val="00B95F6A"/>
    <w:rsid w:val="00B960EB"/>
    <w:rsid w:val="00B96A7A"/>
    <w:rsid w:val="00B96B2D"/>
    <w:rsid w:val="00B96CAD"/>
    <w:rsid w:val="00B9720B"/>
    <w:rsid w:val="00B97A28"/>
    <w:rsid w:val="00B97D8D"/>
    <w:rsid w:val="00BA1958"/>
    <w:rsid w:val="00BA19AA"/>
    <w:rsid w:val="00BA24AD"/>
    <w:rsid w:val="00BA2F17"/>
    <w:rsid w:val="00BA3E7F"/>
    <w:rsid w:val="00BA4A8A"/>
    <w:rsid w:val="00BA4D7C"/>
    <w:rsid w:val="00BA726E"/>
    <w:rsid w:val="00BA7761"/>
    <w:rsid w:val="00BA7BB4"/>
    <w:rsid w:val="00BA7BB9"/>
    <w:rsid w:val="00BB081E"/>
    <w:rsid w:val="00BB0B21"/>
    <w:rsid w:val="00BB0BCC"/>
    <w:rsid w:val="00BB1534"/>
    <w:rsid w:val="00BB1BF4"/>
    <w:rsid w:val="00BB431D"/>
    <w:rsid w:val="00BB4465"/>
    <w:rsid w:val="00BB4AF9"/>
    <w:rsid w:val="00BB5063"/>
    <w:rsid w:val="00BB7965"/>
    <w:rsid w:val="00BB7F3D"/>
    <w:rsid w:val="00BC05F1"/>
    <w:rsid w:val="00BC19E5"/>
    <w:rsid w:val="00BC3A50"/>
    <w:rsid w:val="00BC60B5"/>
    <w:rsid w:val="00BC624D"/>
    <w:rsid w:val="00BC667C"/>
    <w:rsid w:val="00BC6E15"/>
    <w:rsid w:val="00BC740C"/>
    <w:rsid w:val="00BC79C3"/>
    <w:rsid w:val="00BC7F04"/>
    <w:rsid w:val="00BD30B3"/>
    <w:rsid w:val="00BD39EA"/>
    <w:rsid w:val="00BD4390"/>
    <w:rsid w:val="00BD458C"/>
    <w:rsid w:val="00BD45E8"/>
    <w:rsid w:val="00BD4AAF"/>
    <w:rsid w:val="00BD710D"/>
    <w:rsid w:val="00BE03D4"/>
    <w:rsid w:val="00BE0453"/>
    <w:rsid w:val="00BE16BF"/>
    <w:rsid w:val="00BE4298"/>
    <w:rsid w:val="00BE49BB"/>
    <w:rsid w:val="00BE4F62"/>
    <w:rsid w:val="00BE56EF"/>
    <w:rsid w:val="00BE6C21"/>
    <w:rsid w:val="00BE7183"/>
    <w:rsid w:val="00BE7D51"/>
    <w:rsid w:val="00BF126E"/>
    <w:rsid w:val="00BF168D"/>
    <w:rsid w:val="00BF1E62"/>
    <w:rsid w:val="00BF24B8"/>
    <w:rsid w:val="00BF5F6D"/>
    <w:rsid w:val="00BF7EB7"/>
    <w:rsid w:val="00C0137D"/>
    <w:rsid w:val="00C015EA"/>
    <w:rsid w:val="00C03EDA"/>
    <w:rsid w:val="00C0485C"/>
    <w:rsid w:val="00C04960"/>
    <w:rsid w:val="00C0555C"/>
    <w:rsid w:val="00C05A5A"/>
    <w:rsid w:val="00C05BA2"/>
    <w:rsid w:val="00C06133"/>
    <w:rsid w:val="00C06CCD"/>
    <w:rsid w:val="00C07E05"/>
    <w:rsid w:val="00C12F79"/>
    <w:rsid w:val="00C13017"/>
    <w:rsid w:val="00C1368D"/>
    <w:rsid w:val="00C14622"/>
    <w:rsid w:val="00C14744"/>
    <w:rsid w:val="00C17389"/>
    <w:rsid w:val="00C20A7C"/>
    <w:rsid w:val="00C21460"/>
    <w:rsid w:val="00C2260B"/>
    <w:rsid w:val="00C24613"/>
    <w:rsid w:val="00C24A83"/>
    <w:rsid w:val="00C24AD2"/>
    <w:rsid w:val="00C25AF4"/>
    <w:rsid w:val="00C265AD"/>
    <w:rsid w:val="00C26DEC"/>
    <w:rsid w:val="00C303F6"/>
    <w:rsid w:val="00C30B58"/>
    <w:rsid w:val="00C30D7D"/>
    <w:rsid w:val="00C3148A"/>
    <w:rsid w:val="00C33E2A"/>
    <w:rsid w:val="00C34071"/>
    <w:rsid w:val="00C35718"/>
    <w:rsid w:val="00C3573B"/>
    <w:rsid w:val="00C35B1E"/>
    <w:rsid w:val="00C3794B"/>
    <w:rsid w:val="00C37F65"/>
    <w:rsid w:val="00C418DC"/>
    <w:rsid w:val="00C4295C"/>
    <w:rsid w:val="00C4310C"/>
    <w:rsid w:val="00C44348"/>
    <w:rsid w:val="00C44456"/>
    <w:rsid w:val="00C44A0D"/>
    <w:rsid w:val="00C455E6"/>
    <w:rsid w:val="00C458A7"/>
    <w:rsid w:val="00C46AEE"/>
    <w:rsid w:val="00C4711D"/>
    <w:rsid w:val="00C477F5"/>
    <w:rsid w:val="00C47EE6"/>
    <w:rsid w:val="00C50066"/>
    <w:rsid w:val="00C5030E"/>
    <w:rsid w:val="00C52305"/>
    <w:rsid w:val="00C541B4"/>
    <w:rsid w:val="00C548CE"/>
    <w:rsid w:val="00C54C85"/>
    <w:rsid w:val="00C613B3"/>
    <w:rsid w:val="00C613D0"/>
    <w:rsid w:val="00C64516"/>
    <w:rsid w:val="00C64DD7"/>
    <w:rsid w:val="00C65B30"/>
    <w:rsid w:val="00C665EC"/>
    <w:rsid w:val="00C70C89"/>
    <w:rsid w:val="00C73BE7"/>
    <w:rsid w:val="00C7434F"/>
    <w:rsid w:val="00C75071"/>
    <w:rsid w:val="00C8228E"/>
    <w:rsid w:val="00C82407"/>
    <w:rsid w:val="00C8400F"/>
    <w:rsid w:val="00C845C0"/>
    <w:rsid w:val="00C84E6B"/>
    <w:rsid w:val="00C86F3A"/>
    <w:rsid w:val="00C871E1"/>
    <w:rsid w:val="00C90F91"/>
    <w:rsid w:val="00C917CC"/>
    <w:rsid w:val="00C9190E"/>
    <w:rsid w:val="00C921EB"/>
    <w:rsid w:val="00C9341D"/>
    <w:rsid w:val="00C9347E"/>
    <w:rsid w:val="00C959D8"/>
    <w:rsid w:val="00C96099"/>
    <w:rsid w:val="00C972EE"/>
    <w:rsid w:val="00C9751C"/>
    <w:rsid w:val="00CA069D"/>
    <w:rsid w:val="00CA06BD"/>
    <w:rsid w:val="00CA0B3B"/>
    <w:rsid w:val="00CA1160"/>
    <w:rsid w:val="00CA1CDE"/>
    <w:rsid w:val="00CA22D1"/>
    <w:rsid w:val="00CA47A5"/>
    <w:rsid w:val="00CA4BF9"/>
    <w:rsid w:val="00CA50AC"/>
    <w:rsid w:val="00CA5374"/>
    <w:rsid w:val="00CA7672"/>
    <w:rsid w:val="00CB083D"/>
    <w:rsid w:val="00CB0AF9"/>
    <w:rsid w:val="00CB0C67"/>
    <w:rsid w:val="00CB1376"/>
    <w:rsid w:val="00CB22F5"/>
    <w:rsid w:val="00CB283E"/>
    <w:rsid w:val="00CB2AD0"/>
    <w:rsid w:val="00CB3310"/>
    <w:rsid w:val="00CB4341"/>
    <w:rsid w:val="00CB5BD2"/>
    <w:rsid w:val="00CC01C2"/>
    <w:rsid w:val="00CC05E1"/>
    <w:rsid w:val="00CC0E74"/>
    <w:rsid w:val="00CC3A50"/>
    <w:rsid w:val="00CC3BC3"/>
    <w:rsid w:val="00CC4673"/>
    <w:rsid w:val="00CC4D94"/>
    <w:rsid w:val="00CC59D5"/>
    <w:rsid w:val="00CC7A12"/>
    <w:rsid w:val="00CC7F97"/>
    <w:rsid w:val="00CD2CED"/>
    <w:rsid w:val="00CD2E19"/>
    <w:rsid w:val="00CD31C4"/>
    <w:rsid w:val="00CD39D2"/>
    <w:rsid w:val="00CD417F"/>
    <w:rsid w:val="00CD504E"/>
    <w:rsid w:val="00CD59B8"/>
    <w:rsid w:val="00CD624C"/>
    <w:rsid w:val="00CD6AE1"/>
    <w:rsid w:val="00CD7AF4"/>
    <w:rsid w:val="00CE0408"/>
    <w:rsid w:val="00CE13EC"/>
    <w:rsid w:val="00CE2839"/>
    <w:rsid w:val="00CE2C5E"/>
    <w:rsid w:val="00CE388C"/>
    <w:rsid w:val="00CE3A42"/>
    <w:rsid w:val="00CE67BA"/>
    <w:rsid w:val="00CE6EF0"/>
    <w:rsid w:val="00CF0429"/>
    <w:rsid w:val="00CF11FF"/>
    <w:rsid w:val="00CF15CD"/>
    <w:rsid w:val="00CF32AE"/>
    <w:rsid w:val="00CF3C0E"/>
    <w:rsid w:val="00CF6E32"/>
    <w:rsid w:val="00CF752F"/>
    <w:rsid w:val="00D0001F"/>
    <w:rsid w:val="00D0043C"/>
    <w:rsid w:val="00D007CA"/>
    <w:rsid w:val="00D029EE"/>
    <w:rsid w:val="00D0317C"/>
    <w:rsid w:val="00D0334D"/>
    <w:rsid w:val="00D03778"/>
    <w:rsid w:val="00D04E89"/>
    <w:rsid w:val="00D04EFB"/>
    <w:rsid w:val="00D05937"/>
    <w:rsid w:val="00D072B1"/>
    <w:rsid w:val="00D077F1"/>
    <w:rsid w:val="00D07AAA"/>
    <w:rsid w:val="00D104C2"/>
    <w:rsid w:val="00D11380"/>
    <w:rsid w:val="00D11E41"/>
    <w:rsid w:val="00D12D6C"/>
    <w:rsid w:val="00D13CFE"/>
    <w:rsid w:val="00D14109"/>
    <w:rsid w:val="00D1515A"/>
    <w:rsid w:val="00D1669C"/>
    <w:rsid w:val="00D16E88"/>
    <w:rsid w:val="00D17189"/>
    <w:rsid w:val="00D20152"/>
    <w:rsid w:val="00D207BB"/>
    <w:rsid w:val="00D2312D"/>
    <w:rsid w:val="00D24850"/>
    <w:rsid w:val="00D24A35"/>
    <w:rsid w:val="00D25AF6"/>
    <w:rsid w:val="00D2615A"/>
    <w:rsid w:val="00D275D5"/>
    <w:rsid w:val="00D30ACE"/>
    <w:rsid w:val="00D317E6"/>
    <w:rsid w:val="00D31ADF"/>
    <w:rsid w:val="00D339F7"/>
    <w:rsid w:val="00D3520E"/>
    <w:rsid w:val="00D356B0"/>
    <w:rsid w:val="00D35FB0"/>
    <w:rsid w:val="00D37099"/>
    <w:rsid w:val="00D404DF"/>
    <w:rsid w:val="00D438DB"/>
    <w:rsid w:val="00D44309"/>
    <w:rsid w:val="00D45F82"/>
    <w:rsid w:val="00D46105"/>
    <w:rsid w:val="00D46471"/>
    <w:rsid w:val="00D527D8"/>
    <w:rsid w:val="00D52BC0"/>
    <w:rsid w:val="00D53249"/>
    <w:rsid w:val="00D532F8"/>
    <w:rsid w:val="00D53CE7"/>
    <w:rsid w:val="00D54D95"/>
    <w:rsid w:val="00D55FDC"/>
    <w:rsid w:val="00D56AD6"/>
    <w:rsid w:val="00D6245A"/>
    <w:rsid w:val="00D671BC"/>
    <w:rsid w:val="00D67994"/>
    <w:rsid w:val="00D67E63"/>
    <w:rsid w:val="00D7030E"/>
    <w:rsid w:val="00D70C0C"/>
    <w:rsid w:val="00D7489E"/>
    <w:rsid w:val="00D7529B"/>
    <w:rsid w:val="00D758BA"/>
    <w:rsid w:val="00D75FE4"/>
    <w:rsid w:val="00D77897"/>
    <w:rsid w:val="00D80018"/>
    <w:rsid w:val="00D80736"/>
    <w:rsid w:val="00D80BD9"/>
    <w:rsid w:val="00D81FC5"/>
    <w:rsid w:val="00D82F90"/>
    <w:rsid w:val="00D845E9"/>
    <w:rsid w:val="00D8536B"/>
    <w:rsid w:val="00D86803"/>
    <w:rsid w:val="00D86881"/>
    <w:rsid w:val="00D87D56"/>
    <w:rsid w:val="00D90722"/>
    <w:rsid w:val="00D919F7"/>
    <w:rsid w:val="00D924A8"/>
    <w:rsid w:val="00D93F35"/>
    <w:rsid w:val="00D94BEA"/>
    <w:rsid w:val="00D95C73"/>
    <w:rsid w:val="00D95C7E"/>
    <w:rsid w:val="00D976C5"/>
    <w:rsid w:val="00D97F02"/>
    <w:rsid w:val="00DA1288"/>
    <w:rsid w:val="00DA2662"/>
    <w:rsid w:val="00DA2F4E"/>
    <w:rsid w:val="00DA3971"/>
    <w:rsid w:val="00DA4636"/>
    <w:rsid w:val="00DA4CA6"/>
    <w:rsid w:val="00DA50EA"/>
    <w:rsid w:val="00DA51A5"/>
    <w:rsid w:val="00DA71DA"/>
    <w:rsid w:val="00DA7BD6"/>
    <w:rsid w:val="00DB0798"/>
    <w:rsid w:val="00DB1CDF"/>
    <w:rsid w:val="00DB25F2"/>
    <w:rsid w:val="00DB2EC3"/>
    <w:rsid w:val="00DB3B2D"/>
    <w:rsid w:val="00DB3B9F"/>
    <w:rsid w:val="00DB49FE"/>
    <w:rsid w:val="00DB76FE"/>
    <w:rsid w:val="00DB7A7A"/>
    <w:rsid w:val="00DC1915"/>
    <w:rsid w:val="00DC2080"/>
    <w:rsid w:val="00DC3879"/>
    <w:rsid w:val="00DC3988"/>
    <w:rsid w:val="00DC3C01"/>
    <w:rsid w:val="00DC53E0"/>
    <w:rsid w:val="00DC581F"/>
    <w:rsid w:val="00DC6789"/>
    <w:rsid w:val="00DC6AF2"/>
    <w:rsid w:val="00DC6B0D"/>
    <w:rsid w:val="00DD0FEE"/>
    <w:rsid w:val="00DD139D"/>
    <w:rsid w:val="00DD20FF"/>
    <w:rsid w:val="00DD284F"/>
    <w:rsid w:val="00DD290E"/>
    <w:rsid w:val="00DD4370"/>
    <w:rsid w:val="00DD580F"/>
    <w:rsid w:val="00DD5B28"/>
    <w:rsid w:val="00DD6E2A"/>
    <w:rsid w:val="00DD6FA4"/>
    <w:rsid w:val="00DE100A"/>
    <w:rsid w:val="00DE1546"/>
    <w:rsid w:val="00DE1E2C"/>
    <w:rsid w:val="00DE26D4"/>
    <w:rsid w:val="00DE358D"/>
    <w:rsid w:val="00DE3DDF"/>
    <w:rsid w:val="00DE47E5"/>
    <w:rsid w:val="00DE4A49"/>
    <w:rsid w:val="00DE5F14"/>
    <w:rsid w:val="00DE66FD"/>
    <w:rsid w:val="00DE76AF"/>
    <w:rsid w:val="00DF0BAA"/>
    <w:rsid w:val="00DF1696"/>
    <w:rsid w:val="00DF20CA"/>
    <w:rsid w:val="00DF233B"/>
    <w:rsid w:val="00DF36B6"/>
    <w:rsid w:val="00DF40F0"/>
    <w:rsid w:val="00DF4D06"/>
    <w:rsid w:val="00DF5784"/>
    <w:rsid w:val="00DF58F7"/>
    <w:rsid w:val="00DF5D53"/>
    <w:rsid w:val="00DF6719"/>
    <w:rsid w:val="00DF67A8"/>
    <w:rsid w:val="00DF7D0B"/>
    <w:rsid w:val="00DF7E9F"/>
    <w:rsid w:val="00E00C7C"/>
    <w:rsid w:val="00E025C3"/>
    <w:rsid w:val="00E035A6"/>
    <w:rsid w:val="00E04CE4"/>
    <w:rsid w:val="00E060B7"/>
    <w:rsid w:val="00E06EAE"/>
    <w:rsid w:val="00E07CED"/>
    <w:rsid w:val="00E10CAC"/>
    <w:rsid w:val="00E11516"/>
    <w:rsid w:val="00E11EE5"/>
    <w:rsid w:val="00E1233F"/>
    <w:rsid w:val="00E1278A"/>
    <w:rsid w:val="00E12EA1"/>
    <w:rsid w:val="00E13AAF"/>
    <w:rsid w:val="00E14EEB"/>
    <w:rsid w:val="00E159F1"/>
    <w:rsid w:val="00E17230"/>
    <w:rsid w:val="00E20182"/>
    <w:rsid w:val="00E202CC"/>
    <w:rsid w:val="00E20B3D"/>
    <w:rsid w:val="00E20BD4"/>
    <w:rsid w:val="00E2191A"/>
    <w:rsid w:val="00E21B48"/>
    <w:rsid w:val="00E21DFE"/>
    <w:rsid w:val="00E220E0"/>
    <w:rsid w:val="00E245D4"/>
    <w:rsid w:val="00E246F7"/>
    <w:rsid w:val="00E24C78"/>
    <w:rsid w:val="00E2594F"/>
    <w:rsid w:val="00E26ED0"/>
    <w:rsid w:val="00E273A0"/>
    <w:rsid w:val="00E27A70"/>
    <w:rsid w:val="00E309B7"/>
    <w:rsid w:val="00E30FD1"/>
    <w:rsid w:val="00E31CDA"/>
    <w:rsid w:val="00E328EA"/>
    <w:rsid w:val="00E328F0"/>
    <w:rsid w:val="00E32D05"/>
    <w:rsid w:val="00E342BD"/>
    <w:rsid w:val="00E34A38"/>
    <w:rsid w:val="00E3525D"/>
    <w:rsid w:val="00E37B2C"/>
    <w:rsid w:val="00E418F8"/>
    <w:rsid w:val="00E4200B"/>
    <w:rsid w:val="00E45E33"/>
    <w:rsid w:val="00E465C3"/>
    <w:rsid w:val="00E4675E"/>
    <w:rsid w:val="00E5026E"/>
    <w:rsid w:val="00E50A9D"/>
    <w:rsid w:val="00E51AB7"/>
    <w:rsid w:val="00E52A69"/>
    <w:rsid w:val="00E57087"/>
    <w:rsid w:val="00E57976"/>
    <w:rsid w:val="00E60DD0"/>
    <w:rsid w:val="00E613F8"/>
    <w:rsid w:val="00E62146"/>
    <w:rsid w:val="00E62A1F"/>
    <w:rsid w:val="00E650AB"/>
    <w:rsid w:val="00E66592"/>
    <w:rsid w:val="00E66732"/>
    <w:rsid w:val="00E66835"/>
    <w:rsid w:val="00E67E42"/>
    <w:rsid w:val="00E70041"/>
    <w:rsid w:val="00E7046F"/>
    <w:rsid w:val="00E71213"/>
    <w:rsid w:val="00E7185A"/>
    <w:rsid w:val="00E75F3F"/>
    <w:rsid w:val="00E76551"/>
    <w:rsid w:val="00E80D70"/>
    <w:rsid w:val="00E81372"/>
    <w:rsid w:val="00E82AB6"/>
    <w:rsid w:val="00E84092"/>
    <w:rsid w:val="00E85F8C"/>
    <w:rsid w:val="00E8671C"/>
    <w:rsid w:val="00E8699E"/>
    <w:rsid w:val="00E86AB7"/>
    <w:rsid w:val="00E86BD5"/>
    <w:rsid w:val="00E86DEB"/>
    <w:rsid w:val="00E8780F"/>
    <w:rsid w:val="00E907BB"/>
    <w:rsid w:val="00E9140D"/>
    <w:rsid w:val="00E917D2"/>
    <w:rsid w:val="00E92A8E"/>
    <w:rsid w:val="00E93038"/>
    <w:rsid w:val="00E9458F"/>
    <w:rsid w:val="00E947B9"/>
    <w:rsid w:val="00E9521C"/>
    <w:rsid w:val="00E955EF"/>
    <w:rsid w:val="00E97A21"/>
    <w:rsid w:val="00EA03EF"/>
    <w:rsid w:val="00EA04AE"/>
    <w:rsid w:val="00EA0C9F"/>
    <w:rsid w:val="00EA2739"/>
    <w:rsid w:val="00EA2DAF"/>
    <w:rsid w:val="00EA45E8"/>
    <w:rsid w:val="00EA5D7A"/>
    <w:rsid w:val="00EA61D5"/>
    <w:rsid w:val="00EA683B"/>
    <w:rsid w:val="00EB0E1A"/>
    <w:rsid w:val="00EB15D5"/>
    <w:rsid w:val="00EB1E91"/>
    <w:rsid w:val="00EB390E"/>
    <w:rsid w:val="00EB3F46"/>
    <w:rsid w:val="00EB5657"/>
    <w:rsid w:val="00EB5A86"/>
    <w:rsid w:val="00EB5D64"/>
    <w:rsid w:val="00EB75AD"/>
    <w:rsid w:val="00EC0293"/>
    <w:rsid w:val="00EC0FB9"/>
    <w:rsid w:val="00EC12FD"/>
    <w:rsid w:val="00EC18F4"/>
    <w:rsid w:val="00EC223D"/>
    <w:rsid w:val="00EC232B"/>
    <w:rsid w:val="00EC32D0"/>
    <w:rsid w:val="00EC3D48"/>
    <w:rsid w:val="00EC3F19"/>
    <w:rsid w:val="00EC4308"/>
    <w:rsid w:val="00EC699C"/>
    <w:rsid w:val="00ED1086"/>
    <w:rsid w:val="00ED3434"/>
    <w:rsid w:val="00ED4831"/>
    <w:rsid w:val="00ED7BC4"/>
    <w:rsid w:val="00EE06CF"/>
    <w:rsid w:val="00EE0CD1"/>
    <w:rsid w:val="00EE1634"/>
    <w:rsid w:val="00EE352E"/>
    <w:rsid w:val="00EE39CC"/>
    <w:rsid w:val="00EE3E62"/>
    <w:rsid w:val="00EE48C7"/>
    <w:rsid w:val="00EE56F3"/>
    <w:rsid w:val="00EE74EA"/>
    <w:rsid w:val="00EE772A"/>
    <w:rsid w:val="00EE7EBE"/>
    <w:rsid w:val="00EF0E0D"/>
    <w:rsid w:val="00EF1033"/>
    <w:rsid w:val="00EF1F75"/>
    <w:rsid w:val="00EF24D5"/>
    <w:rsid w:val="00EF3DF8"/>
    <w:rsid w:val="00EF4927"/>
    <w:rsid w:val="00EF49EB"/>
    <w:rsid w:val="00EF6063"/>
    <w:rsid w:val="00EF6C18"/>
    <w:rsid w:val="00EF7418"/>
    <w:rsid w:val="00F019BC"/>
    <w:rsid w:val="00F03071"/>
    <w:rsid w:val="00F04C9C"/>
    <w:rsid w:val="00F05329"/>
    <w:rsid w:val="00F0542F"/>
    <w:rsid w:val="00F05A92"/>
    <w:rsid w:val="00F069C8"/>
    <w:rsid w:val="00F10135"/>
    <w:rsid w:val="00F10562"/>
    <w:rsid w:val="00F11602"/>
    <w:rsid w:val="00F12C99"/>
    <w:rsid w:val="00F12D29"/>
    <w:rsid w:val="00F1582B"/>
    <w:rsid w:val="00F15BA3"/>
    <w:rsid w:val="00F16AA1"/>
    <w:rsid w:val="00F20219"/>
    <w:rsid w:val="00F204ED"/>
    <w:rsid w:val="00F20BF0"/>
    <w:rsid w:val="00F2317E"/>
    <w:rsid w:val="00F26F3E"/>
    <w:rsid w:val="00F26F8D"/>
    <w:rsid w:val="00F27398"/>
    <w:rsid w:val="00F31374"/>
    <w:rsid w:val="00F3168D"/>
    <w:rsid w:val="00F320D1"/>
    <w:rsid w:val="00F327A4"/>
    <w:rsid w:val="00F3610E"/>
    <w:rsid w:val="00F3649C"/>
    <w:rsid w:val="00F36865"/>
    <w:rsid w:val="00F405BF"/>
    <w:rsid w:val="00F41829"/>
    <w:rsid w:val="00F42800"/>
    <w:rsid w:val="00F438F4"/>
    <w:rsid w:val="00F43A7E"/>
    <w:rsid w:val="00F44988"/>
    <w:rsid w:val="00F44E45"/>
    <w:rsid w:val="00F45F3B"/>
    <w:rsid w:val="00F462E9"/>
    <w:rsid w:val="00F4717E"/>
    <w:rsid w:val="00F505F4"/>
    <w:rsid w:val="00F50873"/>
    <w:rsid w:val="00F50EC5"/>
    <w:rsid w:val="00F51030"/>
    <w:rsid w:val="00F5189E"/>
    <w:rsid w:val="00F51D57"/>
    <w:rsid w:val="00F52F78"/>
    <w:rsid w:val="00F534A6"/>
    <w:rsid w:val="00F53554"/>
    <w:rsid w:val="00F54DC7"/>
    <w:rsid w:val="00F54ED9"/>
    <w:rsid w:val="00F5612A"/>
    <w:rsid w:val="00F57147"/>
    <w:rsid w:val="00F57707"/>
    <w:rsid w:val="00F62121"/>
    <w:rsid w:val="00F62515"/>
    <w:rsid w:val="00F6296E"/>
    <w:rsid w:val="00F62DEB"/>
    <w:rsid w:val="00F641B2"/>
    <w:rsid w:val="00F64907"/>
    <w:rsid w:val="00F64E69"/>
    <w:rsid w:val="00F65C18"/>
    <w:rsid w:val="00F664C3"/>
    <w:rsid w:val="00F66CCC"/>
    <w:rsid w:val="00F6737B"/>
    <w:rsid w:val="00F67CC7"/>
    <w:rsid w:val="00F67FA2"/>
    <w:rsid w:val="00F7072D"/>
    <w:rsid w:val="00F70735"/>
    <w:rsid w:val="00F708EF"/>
    <w:rsid w:val="00F7148E"/>
    <w:rsid w:val="00F714A7"/>
    <w:rsid w:val="00F73548"/>
    <w:rsid w:val="00F73A45"/>
    <w:rsid w:val="00F75ED4"/>
    <w:rsid w:val="00F77931"/>
    <w:rsid w:val="00F819AA"/>
    <w:rsid w:val="00F8400C"/>
    <w:rsid w:val="00F8417E"/>
    <w:rsid w:val="00F84373"/>
    <w:rsid w:val="00F85B2E"/>
    <w:rsid w:val="00F8676D"/>
    <w:rsid w:val="00F90556"/>
    <w:rsid w:val="00F9149C"/>
    <w:rsid w:val="00F919CD"/>
    <w:rsid w:val="00F92FB9"/>
    <w:rsid w:val="00F935F4"/>
    <w:rsid w:val="00F93E2A"/>
    <w:rsid w:val="00F9444B"/>
    <w:rsid w:val="00F94620"/>
    <w:rsid w:val="00F94723"/>
    <w:rsid w:val="00F95080"/>
    <w:rsid w:val="00F954B5"/>
    <w:rsid w:val="00F958EC"/>
    <w:rsid w:val="00FA00A5"/>
    <w:rsid w:val="00FA0575"/>
    <w:rsid w:val="00FA1172"/>
    <w:rsid w:val="00FA1388"/>
    <w:rsid w:val="00FA1A4F"/>
    <w:rsid w:val="00FA1B79"/>
    <w:rsid w:val="00FA272E"/>
    <w:rsid w:val="00FA36DC"/>
    <w:rsid w:val="00FA3BBA"/>
    <w:rsid w:val="00FA5627"/>
    <w:rsid w:val="00FA6074"/>
    <w:rsid w:val="00FA60A7"/>
    <w:rsid w:val="00FA6286"/>
    <w:rsid w:val="00FA6988"/>
    <w:rsid w:val="00FA6EE5"/>
    <w:rsid w:val="00FA7430"/>
    <w:rsid w:val="00FB1E19"/>
    <w:rsid w:val="00FB1EDE"/>
    <w:rsid w:val="00FB2566"/>
    <w:rsid w:val="00FB2AF2"/>
    <w:rsid w:val="00FB2EAD"/>
    <w:rsid w:val="00FB31E2"/>
    <w:rsid w:val="00FB38EB"/>
    <w:rsid w:val="00FB43B4"/>
    <w:rsid w:val="00FB5C26"/>
    <w:rsid w:val="00FB7BDE"/>
    <w:rsid w:val="00FC277D"/>
    <w:rsid w:val="00FC2D86"/>
    <w:rsid w:val="00FC38D6"/>
    <w:rsid w:val="00FC3B21"/>
    <w:rsid w:val="00FC423C"/>
    <w:rsid w:val="00FC435C"/>
    <w:rsid w:val="00FC4591"/>
    <w:rsid w:val="00FC4C84"/>
    <w:rsid w:val="00FC5C54"/>
    <w:rsid w:val="00FC5D61"/>
    <w:rsid w:val="00FC67D6"/>
    <w:rsid w:val="00FC6DB2"/>
    <w:rsid w:val="00FD07E3"/>
    <w:rsid w:val="00FD1919"/>
    <w:rsid w:val="00FD283C"/>
    <w:rsid w:val="00FD32C2"/>
    <w:rsid w:val="00FD36B6"/>
    <w:rsid w:val="00FD3E6E"/>
    <w:rsid w:val="00FD503F"/>
    <w:rsid w:val="00FD50BC"/>
    <w:rsid w:val="00FE0214"/>
    <w:rsid w:val="00FE1066"/>
    <w:rsid w:val="00FE1648"/>
    <w:rsid w:val="00FE1D8A"/>
    <w:rsid w:val="00FE2958"/>
    <w:rsid w:val="00FE3AC0"/>
    <w:rsid w:val="00FE4476"/>
    <w:rsid w:val="00FE59F5"/>
    <w:rsid w:val="00FE5BAE"/>
    <w:rsid w:val="00FE6A61"/>
    <w:rsid w:val="00FE6B22"/>
    <w:rsid w:val="00FE6C78"/>
    <w:rsid w:val="00FE7C14"/>
    <w:rsid w:val="00FE7F41"/>
    <w:rsid w:val="00FF02DF"/>
    <w:rsid w:val="00FF4D10"/>
    <w:rsid w:val="00FF5B50"/>
    <w:rsid w:val="00FF5C80"/>
    <w:rsid w:val="00FF65AB"/>
    <w:rsid w:val="00FF6EF8"/>
    <w:rsid w:val="014C4089"/>
    <w:rsid w:val="01712C59"/>
    <w:rsid w:val="019224BE"/>
    <w:rsid w:val="02454DC9"/>
    <w:rsid w:val="02910324"/>
    <w:rsid w:val="02C646E1"/>
    <w:rsid w:val="02DB4857"/>
    <w:rsid w:val="03541CED"/>
    <w:rsid w:val="0367592F"/>
    <w:rsid w:val="037D6E4A"/>
    <w:rsid w:val="040D6D19"/>
    <w:rsid w:val="045A67DF"/>
    <w:rsid w:val="045D2E23"/>
    <w:rsid w:val="04612981"/>
    <w:rsid w:val="04617C78"/>
    <w:rsid w:val="0492290C"/>
    <w:rsid w:val="04973A9F"/>
    <w:rsid w:val="049E7F93"/>
    <w:rsid w:val="04E83CA3"/>
    <w:rsid w:val="04EA03AB"/>
    <w:rsid w:val="04F548E2"/>
    <w:rsid w:val="053E6976"/>
    <w:rsid w:val="06862B05"/>
    <w:rsid w:val="06BB7499"/>
    <w:rsid w:val="06F16DB8"/>
    <w:rsid w:val="072A4BA6"/>
    <w:rsid w:val="07E64320"/>
    <w:rsid w:val="07FE6B2C"/>
    <w:rsid w:val="07FF48C8"/>
    <w:rsid w:val="081D7E86"/>
    <w:rsid w:val="08610CD7"/>
    <w:rsid w:val="088C034D"/>
    <w:rsid w:val="08921C9F"/>
    <w:rsid w:val="08AA0E57"/>
    <w:rsid w:val="08AC078D"/>
    <w:rsid w:val="08B421A7"/>
    <w:rsid w:val="09004AA0"/>
    <w:rsid w:val="09141EC9"/>
    <w:rsid w:val="091B157F"/>
    <w:rsid w:val="091F2D9D"/>
    <w:rsid w:val="092B7785"/>
    <w:rsid w:val="0948190B"/>
    <w:rsid w:val="0962456C"/>
    <w:rsid w:val="0993037E"/>
    <w:rsid w:val="0A6F3E89"/>
    <w:rsid w:val="0A872E9B"/>
    <w:rsid w:val="0AB319EF"/>
    <w:rsid w:val="0AF6127C"/>
    <w:rsid w:val="0B3B6B62"/>
    <w:rsid w:val="0B7962BE"/>
    <w:rsid w:val="0B901ECD"/>
    <w:rsid w:val="0C105DFF"/>
    <w:rsid w:val="0C684A5B"/>
    <w:rsid w:val="0CB5287D"/>
    <w:rsid w:val="0CBD4ADC"/>
    <w:rsid w:val="0CCA3020"/>
    <w:rsid w:val="0CD30126"/>
    <w:rsid w:val="0CFC317C"/>
    <w:rsid w:val="0E6275D1"/>
    <w:rsid w:val="0EB46E08"/>
    <w:rsid w:val="0EC64E38"/>
    <w:rsid w:val="0EE33B88"/>
    <w:rsid w:val="0EEC1973"/>
    <w:rsid w:val="0F264FE7"/>
    <w:rsid w:val="0F3946C8"/>
    <w:rsid w:val="0FAC7325"/>
    <w:rsid w:val="0FEB079C"/>
    <w:rsid w:val="10EF4D6C"/>
    <w:rsid w:val="10FD258B"/>
    <w:rsid w:val="11367AC0"/>
    <w:rsid w:val="118D1664"/>
    <w:rsid w:val="11A101D6"/>
    <w:rsid w:val="11B06C17"/>
    <w:rsid w:val="11B83C77"/>
    <w:rsid w:val="120D6082"/>
    <w:rsid w:val="122711D7"/>
    <w:rsid w:val="1230330D"/>
    <w:rsid w:val="12AF1D0F"/>
    <w:rsid w:val="12CA37D0"/>
    <w:rsid w:val="139D752A"/>
    <w:rsid w:val="13F526AA"/>
    <w:rsid w:val="142152D6"/>
    <w:rsid w:val="1429199D"/>
    <w:rsid w:val="14CB5D17"/>
    <w:rsid w:val="14D33921"/>
    <w:rsid w:val="14DF5063"/>
    <w:rsid w:val="15373CF1"/>
    <w:rsid w:val="1568787A"/>
    <w:rsid w:val="156D3BB4"/>
    <w:rsid w:val="15880C4C"/>
    <w:rsid w:val="15AC7766"/>
    <w:rsid w:val="15AE4939"/>
    <w:rsid w:val="164C7F84"/>
    <w:rsid w:val="169B3D10"/>
    <w:rsid w:val="16A101B8"/>
    <w:rsid w:val="16A7036B"/>
    <w:rsid w:val="16AC344E"/>
    <w:rsid w:val="16C07B0A"/>
    <w:rsid w:val="170532D4"/>
    <w:rsid w:val="172604C7"/>
    <w:rsid w:val="1731523F"/>
    <w:rsid w:val="17EA65DF"/>
    <w:rsid w:val="18003D99"/>
    <w:rsid w:val="188D7D23"/>
    <w:rsid w:val="19150D5D"/>
    <w:rsid w:val="192D615C"/>
    <w:rsid w:val="19553A9D"/>
    <w:rsid w:val="195F3547"/>
    <w:rsid w:val="19826FA5"/>
    <w:rsid w:val="19877AF0"/>
    <w:rsid w:val="19D40DC3"/>
    <w:rsid w:val="19E71F68"/>
    <w:rsid w:val="1A287223"/>
    <w:rsid w:val="1B393673"/>
    <w:rsid w:val="1BC3591D"/>
    <w:rsid w:val="1C3243D6"/>
    <w:rsid w:val="1C5F6EAA"/>
    <w:rsid w:val="1C6F4FB4"/>
    <w:rsid w:val="1C733AAB"/>
    <w:rsid w:val="1C9069D4"/>
    <w:rsid w:val="1CC45CDD"/>
    <w:rsid w:val="1CCB791D"/>
    <w:rsid w:val="1D1735EF"/>
    <w:rsid w:val="1D4761EB"/>
    <w:rsid w:val="1DEE0CA9"/>
    <w:rsid w:val="1DF20628"/>
    <w:rsid w:val="1E2D620F"/>
    <w:rsid w:val="1EBF50DB"/>
    <w:rsid w:val="1ED4425A"/>
    <w:rsid w:val="1EDC7F1C"/>
    <w:rsid w:val="1F011828"/>
    <w:rsid w:val="1FF130E4"/>
    <w:rsid w:val="1FF74D8F"/>
    <w:rsid w:val="204C132C"/>
    <w:rsid w:val="20590FF2"/>
    <w:rsid w:val="20D64653"/>
    <w:rsid w:val="20EE1616"/>
    <w:rsid w:val="21120767"/>
    <w:rsid w:val="212E2504"/>
    <w:rsid w:val="214B0C07"/>
    <w:rsid w:val="216043C0"/>
    <w:rsid w:val="216A67F7"/>
    <w:rsid w:val="21730FAD"/>
    <w:rsid w:val="219963E6"/>
    <w:rsid w:val="21D302A6"/>
    <w:rsid w:val="21EE0F80"/>
    <w:rsid w:val="220F17A9"/>
    <w:rsid w:val="22BE4F7D"/>
    <w:rsid w:val="231F27E0"/>
    <w:rsid w:val="23CF4666"/>
    <w:rsid w:val="245231DD"/>
    <w:rsid w:val="25315A92"/>
    <w:rsid w:val="25485B4A"/>
    <w:rsid w:val="257411BF"/>
    <w:rsid w:val="25827978"/>
    <w:rsid w:val="25864D84"/>
    <w:rsid w:val="25D668B0"/>
    <w:rsid w:val="260F1BFD"/>
    <w:rsid w:val="26421E20"/>
    <w:rsid w:val="264D746E"/>
    <w:rsid w:val="268B18B9"/>
    <w:rsid w:val="26942845"/>
    <w:rsid w:val="26A5092E"/>
    <w:rsid w:val="26AB55C9"/>
    <w:rsid w:val="26AB5818"/>
    <w:rsid w:val="26D24169"/>
    <w:rsid w:val="271D6C72"/>
    <w:rsid w:val="2782748C"/>
    <w:rsid w:val="27AB2C9A"/>
    <w:rsid w:val="28603F2A"/>
    <w:rsid w:val="287B7E23"/>
    <w:rsid w:val="28812A39"/>
    <w:rsid w:val="28943942"/>
    <w:rsid w:val="28A846E9"/>
    <w:rsid w:val="291C5BFE"/>
    <w:rsid w:val="29382A6B"/>
    <w:rsid w:val="2955110C"/>
    <w:rsid w:val="295A23FC"/>
    <w:rsid w:val="29626662"/>
    <w:rsid w:val="2A3113C8"/>
    <w:rsid w:val="2A446C83"/>
    <w:rsid w:val="2A8617FE"/>
    <w:rsid w:val="2AB9225B"/>
    <w:rsid w:val="2AF80BFC"/>
    <w:rsid w:val="2B4464C7"/>
    <w:rsid w:val="2B590203"/>
    <w:rsid w:val="2B6B0F7F"/>
    <w:rsid w:val="2B794137"/>
    <w:rsid w:val="2B9B099A"/>
    <w:rsid w:val="2BD851A9"/>
    <w:rsid w:val="2C130D6C"/>
    <w:rsid w:val="2C225C6C"/>
    <w:rsid w:val="2C7831FE"/>
    <w:rsid w:val="2C8F0EA7"/>
    <w:rsid w:val="2CAD66F4"/>
    <w:rsid w:val="2D5609E8"/>
    <w:rsid w:val="2E0E10F4"/>
    <w:rsid w:val="2E1555FA"/>
    <w:rsid w:val="2E335172"/>
    <w:rsid w:val="2EE15375"/>
    <w:rsid w:val="2EF771DC"/>
    <w:rsid w:val="2F377CAB"/>
    <w:rsid w:val="2F7215C9"/>
    <w:rsid w:val="2F753598"/>
    <w:rsid w:val="2FCC5E07"/>
    <w:rsid w:val="2FF545D5"/>
    <w:rsid w:val="300B7E0F"/>
    <w:rsid w:val="30247B0A"/>
    <w:rsid w:val="308036AB"/>
    <w:rsid w:val="3146027D"/>
    <w:rsid w:val="31492649"/>
    <w:rsid w:val="317D7A4B"/>
    <w:rsid w:val="319966F0"/>
    <w:rsid w:val="32863A70"/>
    <w:rsid w:val="328E2276"/>
    <w:rsid w:val="32A8468E"/>
    <w:rsid w:val="333F5C66"/>
    <w:rsid w:val="33825FA4"/>
    <w:rsid w:val="339F038A"/>
    <w:rsid w:val="33DB773D"/>
    <w:rsid w:val="344E56CC"/>
    <w:rsid w:val="346A2735"/>
    <w:rsid w:val="34820207"/>
    <w:rsid w:val="349F49A1"/>
    <w:rsid w:val="34AA5361"/>
    <w:rsid w:val="34D7553F"/>
    <w:rsid w:val="34F622B8"/>
    <w:rsid w:val="34FC3E0F"/>
    <w:rsid w:val="3536335A"/>
    <w:rsid w:val="357B6085"/>
    <w:rsid w:val="3600333F"/>
    <w:rsid w:val="36573F98"/>
    <w:rsid w:val="367C2ED7"/>
    <w:rsid w:val="36C53D8A"/>
    <w:rsid w:val="36DC78E2"/>
    <w:rsid w:val="36E75B10"/>
    <w:rsid w:val="373C7A9C"/>
    <w:rsid w:val="37512FB8"/>
    <w:rsid w:val="376914BD"/>
    <w:rsid w:val="377D7D51"/>
    <w:rsid w:val="37CD35DE"/>
    <w:rsid w:val="38232AA8"/>
    <w:rsid w:val="3860608E"/>
    <w:rsid w:val="389D3187"/>
    <w:rsid w:val="38B91C49"/>
    <w:rsid w:val="39150919"/>
    <w:rsid w:val="39456AB9"/>
    <w:rsid w:val="3984451E"/>
    <w:rsid w:val="39994116"/>
    <w:rsid w:val="39DB0ED3"/>
    <w:rsid w:val="39E958BC"/>
    <w:rsid w:val="39F84A46"/>
    <w:rsid w:val="3A366C90"/>
    <w:rsid w:val="3A50783A"/>
    <w:rsid w:val="3AD2717E"/>
    <w:rsid w:val="3AE8792A"/>
    <w:rsid w:val="3B1A4540"/>
    <w:rsid w:val="3B4C6B7D"/>
    <w:rsid w:val="3B9A1678"/>
    <w:rsid w:val="3C580635"/>
    <w:rsid w:val="3C896EB4"/>
    <w:rsid w:val="3CC50F8A"/>
    <w:rsid w:val="3CF26E83"/>
    <w:rsid w:val="3D7E3DFD"/>
    <w:rsid w:val="3DDC1B4E"/>
    <w:rsid w:val="3DE624D4"/>
    <w:rsid w:val="3E684EAD"/>
    <w:rsid w:val="3E6E56EE"/>
    <w:rsid w:val="3E831250"/>
    <w:rsid w:val="3EAF2D25"/>
    <w:rsid w:val="3EBD538E"/>
    <w:rsid w:val="3F221C11"/>
    <w:rsid w:val="3F3F3186"/>
    <w:rsid w:val="3F5E49C6"/>
    <w:rsid w:val="3FF57DD8"/>
    <w:rsid w:val="400A4965"/>
    <w:rsid w:val="40285C6C"/>
    <w:rsid w:val="40291362"/>
    <w:rsid w:val="40B35F3C"/>
    <w:rsid w:val="41492569"/>
    <w:rsid w:val="41B06152"/>
    <w:rsid w:val="41CF1774"/>
    <w:rsid w:val="41E166A7"/>
    <w:rsid w:val="42833F2C"/>
    <w:rsid w:val="42A34959"/>
    <w:rsid w:val="42AB29D0"/>
    <w:rsid w:val="42D515E8"/>
    <w:rsid w:val="42E45B84"/>
    <w:rsid w:val="432568B4"/>
    <w:rsid w:val="43556CD2"/>
    <w:rsid w:val="4372289C"/>
    <w:rsid w:val="43C5363E"/>
    <w:rsid w:val="43F0266D"/>
    <w:rsid w:val="441B5933"/>
    <w:rsid w:val="44562207"/>
    <w:rsid w:val="448D7B46"/>
    <w:rsid w:val="44EF3FD1"/>
    <w:rsid w:val="4534045C"/>
    <w:rsid w:val="45352A25"/>
    <w:rsid w:val="455E66B8"/>
    <w:rsid w:val="458F0387"/>
    <w:rsid w:val="45B21426"/>
    <w:rsid w:val="460F3D97"/>
    <w:rsid w:val="46157C7E"/>
    <w:rsid w:val="461F17AF"/>
    <w:rsid w:val="46707362"/>
    <w:rsid w:val="46E53E93"/>
    <w:rsid w:val="46E6047B"/>
    <w:rsid w:val="47525687"/>
    <w:rsid w:val="47A32C15"/>
    <w:rsid w:val="47D33EDA"/>
    <w:rsid w:val="47F55DE4"/>
    <w:rsid w:val="47FC5A7C"/>
    <w:rsid w:val="48010ED3"/>
    <w:rsid w:val="48514DA6"/>
    <w:rsid w:val="48CA33FC"/>
    <w:rsid w:val="49316623"/>
    <w:rsid w:val="494372C0"/>
    <w:rsid w:val="495532BE"/>
    <w:rsid w:val="49E05E67"/>
    <w:rsid w:val="4A091CE5"/>
    <w:rsid w:val="4A713F14"/>
    <w:rsid w:val="4A99106D"/>
    <w:rsid w:val="4AC839B1"/>
    <w:rsid w:val="4BCE2162"/>
    <w:rsid w:val="4BE909E0"/>
    <w:rsid w:val="4BEF1B80"/>
    <w:rsid w:val="4BF7143F"/>
    <w:rsid w:val="4BFF39E8"/>
    <w:rsid w:val="4C290139"/>
    <w:rsid w:val="4C4C1669"/>
    <w:rsid w:val="4C7F6D10"/>
    <w:rsid w:val="4CC2524A"/>
    <w:rsid w:val="4CE87662"/>
    <w:rsid w:val="4CFE5DCC"/>
    <w:rsid w:val="4D293DEA"/>
    <w:rsid w:val="4DD83BCC"/>
    <w:rsid w:val="4DDD45F1"/>
    <w:rsid w:val="4DDE1EAC"/>
    <w:rsid w:val="4DFF1E22"/>
    <w:rsid w:val="4E5D3917"/>
    <w:rsid w:val="4ED33E18"/>
    <w:rsid w:val="4F1C3489"/>
    <w:rsid w:val="4F772086"/>
    <w:rsid w:val="4F79018E"/>
    <w:rsid w:val="4F9F02E7"/>
    <w:rsid w:val="50195C4C"/>
    <w:rsid w:val="50942CF5"/>
    <w:rsid w:val="51326756"/>
    <w:rsid w:val="518976D2"/>
    <w:rsid w:val="522E5111"/>
    <w:rsid w:val="525608BB"/>
    <w:rsid w:val="52935EE2"/>
    <w:rsid w:val="52A674AC"/>
    <w:rsid w:val="52B5636A"/>
    <w:rsid w:val="53072D70"/>
    <w:rsid w:val="53555CA3"/>
    <w:rsid w:val="53594140"/>
    <w:rsid w:val="53F01D34"/>
    <w:rsid w:val="541A3E14"/>
    <w:rsid w:val="543D747F"/>
    <w:rsid w:val="546D3EBE"/>
    <w:rsid w:val="547E7F44"/>
    <w:rsid w:val="54955781"/>
    <w:rsid w:val="54A203AA"/>
    <w:rsid w:val="54B61F5D"/>
    <w:rsid w:val="551F5FB4"/>
    <w:rsid w:val="55AA1478"/>
    <w:rsid w:val="55CC2F32"/>
    <w:rsid w:val="55D15107"/>
    <w:rsid w:val="56497D05"/>
    <w:rsid w:val="5651762B"/>
    <w:rsid w:val="570A56DD"/>
    <w:rsid w:val="57730905"/>
    <w:rsid w:val="57783371"/>
    <w:rsid w:val="57C441A6"/>
    <w:rsid w:val="57C70B78"/>
    <w:rsid w:val="57FB6E72"/>
    <w:rsid w:val="58457272"/>
    <w:rsid w:val="58900246"/>
    <w:rsid w:val="58A14A23"/>
    <w:rsid w:val="58A609DF"/>
    <w:rsid w:val="58CB7923"/>
    <w:rsid w:val="58FF660A"/>
    <w:rsid w:val="599810F5"/>
    <w:rsid w:val="599D70BF"/>
    <w:rsid w:val="59A1101C"/>
    <w:rsid w:val="59AF248B"/>
    <w:rsid w:val="59F111B9"/>
    <w:rsid w:val="5A1455BF"/>
    <w:rsid w:val="5A15432B"/>
    <w:rsid w:val="5A1D1EFC"/>
    <w:rsid w:val="5AD26541"/>
    <w:rsid w:val="5ADA6DD0"/>
    <w:rsid w:val="5AEF067F"/>
    <w:rsid w:val="5B9444F1"/>
    <w:rsid w:val="5BC052E6"/>
    <w:rsid w:val="5BF85296"/>
    <w:rsid w:val="5BFD76F7"/>
    <w:rsid w:val="5C024D2D"/>
    <w:rsid w:val="5C2E04A2"/>
    <w:rsid w:val="5C3E57F5"/>
    <w:rsid w:val="5C4972A2"/>
    <w:rsid w:val="5CD458C9"/>
    <w:rsid w:val="5CD901EE"/>
    <w:rsid w:val="5CF05F2A"/>
    <w:rsid w:val="5D054DA9"/>
    <w:rsid w:val="5D2D6E3D"/>
    <w:rsid w:val="5DA724B1"/>
    <w:rsid w:val="5E8E4227"/>
    <w:rsid w:val="5F2D583F"/>
    <w:rsid w:val="5F3815F8"/>
    <w:rsid w:val="5FAB005C"/>
    <w:rsid w:val="5FC553F9"/>
    <w:rsid w:val="5FD75861"/>
    <w:rsid w:val="5FE07B70"/>
    <w:rsid w:val="601B0D3D"/>
    <w:rsid w:val="603879BD"/>
    <w:rsid w:val="606B6E69"/>
    <w:rsid w:val="607034DD"/>
    <w:rsid w:val="60912DAE"/>
    <w:rsid w:val="60944A0B"/>
    <w:rsid w:val="60AC578B"/>
    <w:rsid w:val="60D41974"/>
    <w:rsid w:val="6154366A"/>
    <w:rsid w:val="61702E03"/>
    <w:rsid w:val="617200A8"/>
    <w:rsid w:val="61B85B0B"/>
    <w:rsid w:val="61CD059E"/>
    <w:rsid w:val="61EB0605"/>
    <w:rsid w:val="621435AC"/>
    <w:rsid w:val="627C0528"/>
    <w:rsid w:val="62DA4C04"/>
    <w:rsid w:val="6320666B"/>
    <w:rsid w:val="633E7ADE"/>
    <w:rsid w:val="63433366"/>
    <w:rsid w:val="63891D25"/>
    <w:rsid w:val="63A54A3C"/>
    <w:rsid w:val="63A66D11"/>
    <w:rsid w:val="63A92490"/>
    <w:rsid w:val="63AE49E0"/>
    <w:rsid w:val="63AF2BB8"/>
    <w:rsid w:val="63D63827"/>
    <w:rsid w:val="63F10251"/>
    <w:rsid w:val="641674F2"/>
    <w:rsid w:val="643B2761"/>
    <w:rsid w:val="64540922"/>
    <w:rsid w:val="64982A64"/>
    <w:rsid w:val="64C43464"/>
    <w:rsid w:val="64CA5FFF"/>
    <w:rsid w:val="65546448"/>
    <w:rsid w:val="6558615B"/>
    <w:rsid w:val="65711670"/>
    <w:rsid w:val="65AE7E08"/>
    <w:rsid w:val="65C63372"/>
    <w:rsid w:val="662C60B7"/>
    <w:rsid w:val="66613222"/>
    <w:rsid w:val="668C29E2"/>
    <w:rsid w:val="668F6486"/>
    <w:rsid w:val="670575BF"/>
    <w:rsid w:val="67F23C6D"/>
    <w:rsid w:val="687C03DD"/>
    <w:rsid w:val="68961266"/>
    <w:rsid w:val="68D61B92"/>
    <w:rsid w:val="68E33569"/>
    <w:rsid w:val="694641F3"/>
    <w:rsid w:val="694F3806"/>
    <w:rsid w:val="696772FB"/>
    <w:rsid w:val="69E4001D"/>
    <w:rsid w:val="6A095614"/>
    <w:rsid w:val="6A2B4C32"/>
    <w:rsid w:val="6AEA3DA1"/>
    <w:rsid w:val="6AF07B7F"/>
    <w:rsid w:val="6B2F1B41"/>
    <w:rsid w:val="6B4E2D3E"/>
    <w:rsid w:val="6BD96A17"/>
    <w:rsid w:val="6C091100"/>
    <w:rsid w:val="6C530C66"/>
    <w:rsid w:val="6C8C3392"/>
    <w:rsid w:val="6D0219B2"/>
    <w:rsid w:val="6D356354"/>
    <w:rsid w:val="6E550CC4"/>
    <w:rsid w:val="6E943BB5"/>
    <w:rsid w:val="6EA20BE1"/>
    <w:rsid w:val="6EBC13EB"/>
    <w:rsid w:val="6EBE3907"/>
    <w:rsid w:val="6EC71ECE"/>
    <w:rsid w:val="6F6F4C26"/>
    <w:rsid w:val="6FEF16BE"/>
    <w:rsid w:val="705766E5"/>
    <w:rsid w:val="706B00BB"/>
    <w:rsid w:val="706D1379"/>
    <w:rsid w:val="70B43760"/>
    <w:rsid w:val="70DE0D35"/>
    <w:rsid w:val="70DF14BB"/>
    <w:rsid w:val="70EB475C"/>
    <w:rsid w:val="70F01005"/>
    <w:rsid w:val="71271342"/>
    <w:rsid w:val="71687CAF"/>
    <w:rsid w:val="71792D3C"/>
    <w:rsid w:val="71AF12E6"/>
    <w:rsid w:val="727A15DA"/>
    <w:rsid w:val="72B01989"/>
    <w:rsid w:val="72CA1615"/>
    <w:rsid w:val="72DA63FB"/>
    <w:rsid w:val="73372296"/>
    <w:rsid w:val="73584999"/>
    <w:rsid w:val="738004A6"/>
    <w:rsid w:val="738A4F1A"/>
    <w:rsid w:val="741C0922"/>
    <w:rsid w:val="7449069D"/>
    <w:rsid w:val="74537992"/>
    <w:rsid w:val="74573835"/>
    <w:rsid w:val="74600FBD"/>
    <w:rsid w:val="74ED1E27"/>
    <w:rsid w:val="75056005"/>
    <w:rsid w:val="758B5B61"/>
    <w:rsid w:val="75AE44DB"/>
    <w:rsid w:val="75B46B29"/>
    <w:rsid w:val="75E7504D"/>
    <w:rsid w:val="75EF53B2"/>
    <w:rsid w:val="76037EB7"/>
    <w:rsid w:val="760B7E8B"/>
    <w:rsid w:val="76296FA2"/>
    <w:rsid w:val="76B10E65"/>
    <w:rsid w:val="76D01A14"/>
    <w:rsid w:val="76E653E4"/>
    <w:rsid w:val="77730B47"/>
    <w:rsid w:val="77A3153F"/>
    <w:rsid w:val="77B238DE"/>
    <w:rsid w:val="77E17612"/>
    <w:rsid w:val="77F85EB7"/>
    <w:rsid w:val="786372CE"/>
    <w:rsid w:val="78697573"/>
    <w:rsid w:val="789A1C94"/>
    <w:rsid w:val="78D003F8"/>
    <w:rsid w:val="78D70BA3"/>
    <w:rsid w:val="79522E9F"/>
    <w:rsid w:val="79BF4A66"/>
    <w:rsid w:val="79EA6FF3"/>
    <w:rsid w:val="79FF6F80"/>
    <w:rsid w:val="7A104A82"/>
    <w:rsid w:val="7A350790"/>
    <w:rsid w:val="7A8D2380"/>
    <w:rsid w:val="7AC23E20"/>
    <w:rsid w:val="7AE456E6"/>
    <w:rsid w:val="7C015992"/>
    <w:rsid w:val="7CE92D02"/>
    <w:rsid w:val="7D893333"/>
    <w:rsid w:val="7DB36601"/>
    <w:rsid w:val="7E0278BC"/>
    <w:rsid w:val="7E144D2B"/>
    <w:rsid w:val="7E400A43"/>
    <w:rsid w:val="7E4159BB"/>
    <w:rsid w:val="7E6873EC"/>
    <w:rsid w:val="7ED70E56"/>
    <w:rsid w:val="7F202C72"/>
    <w:rsid w:val="7FA53D28"/>
    <w:rsid w:val="7FAF54D3"/>
    <w:rsid w:val="7FB37EA5"/>
    <w:rsid w:val="7FE60F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9" w:semiHidden="0" w:name="heading 5"/>
    <w:lsdException w:qFormat="1" w:uiPriority="0" w:semiHidden="0" w:name="heading 6"/>
    <w:lsdException w:qFormat="1" w:uiPriority="0" w:semiHidden="0" w:name="heading 7"/>
    <w:lsdException w:qFormat="1" w:uiPriority="9" w:semiHidden="0" w:name="heading 8"/>
    <w:lsdException w:qFormat="1"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99" w:semiHidden="0" w:name="annotation text"/>
    <w:lsdException w:qFormat="1" w:unhideWhenUsed="0" w:uiPriority="99"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qFormat="1" w:unhideWhenUsed="0" w:uiPriority="0"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99"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99" w:semiHidden="0" w:name="Subtitle"/>
    <w:lsdException w:uiPriority="99" w:name="Salutation"/>
    <w:lsdException w:qFormat="1" w:uiPriority="0" w:semiHidden="0" w:name="Date"/>
    <w:lsdException w:qFormat="1" w:uiPriority="0" w:semiHidden="0"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iPriority="0" w:semiHidden="0" w:name="Body Text Indent 2"/>
    <w:lsdException w:qFormat="1" w:uiPriority="99" w:semiHidden="0"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qFormat="1"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4"/>
      <w:szCs w:val="22"/>
      <w:lang w:val="en-US" w:eastAsia="zh-CN" w:bidi="ar-SA"/>
    </w:rPr>
  </w:style>
  <w:style w:type="paragraph" w:styleId="2">
    <w:name w:val="heading 1"/>
    <w:basedOn w:val="1"/>
    <w:link w:val="50"/>
    <w:qFormat/>
    <w:uiPriority w:val="0"/>
    <w:pPr>
      <w:keepNext/>
      <w:keepLines/>
      <w:numPr>
        <w:ilvl w:val="0"/>
        <w:numId w:val="1"/>
      </w:numPr>
      <w:spacing w:before="120" w:after="120" w:line="360" w:lineRule="auto"/>
      <w:outlineLvl w:val="0"/>
    </w:pPr>
    <w:rPr>
      <w:b/>
      <w:bCs/>
      <w:kern w:val="44"/>
      <w:sz w:val="44"/>
      <w:szCs w:val="44"/>
    </w:rPr>
  </w:style>
  <w:style w:type="paragraph" w:styleId="3">
    <w:name w:val="heading 2"/>
    <w:basedOn w:val="1"/>
    <w:next w:val="1"/>
    <w:link w:val="51"/>
    <w:unhideWhenUsed/>
    <w:qFormat/>
    <w:uiPriority w:val="0"/>
    <w:pPr>
      <w:keepNext/>
      <w:keepLines/>
      <w:numPr>
        <w:ilvl w:val="1"/>
        <w:numId w:val="1"/>
      </w:numPr>
      <w:spacing w:before="240" w:after="240" w:line="360" w:lineRule="auto"/>
      <w:outlineLvl w:val="1"/>
    </w:pPr>
    <w:rPr>
      <w:rFonts w:asciiTheme="majorHAnsi" w:hAnsiTheme="majorHAnsi" w:eastAsiaTheme="majorEastAsia" w:cstheme="majorBidi"/>
      <w:b/>
      <w:bCs/>
      <w:sz w:val="32"/>
      <w:szCs w:val="32"/>
    </w:rPr>
  </w:style>
  <w:style w:type="paragraph" w:styleId="4">
    <w:name w:val="heading 3"/>
    <w:basedOn w:val="1"/>
    <w:link w:val="52"/>
    <w:unhideWhenUsed/>
    <w:qFormat/>
    <w:uiPriority w:val="0"/>
    <w:pPr>
      <w:keepNext/>
      <w:keepLines/>
      <w:numPr>
        <w:ilvl w:val="2"/>
        <w:numId w:val="1"/>
      </w:numPr>
      <w:spacing w:before="240" w:after="240" w:line="415" w:lineRule="auto"/>
      <w:outlineLvl w:val="2"/>
    </w:pPr>
    <w:rPr>
      <w:b/>
      <w:bCs/>
      <w:sz w:val="32"/>
      <w:szCs w:val="32"/>
    </w:rPr>
  </w:style>
  <w:style w:type="paragraph" w:styleId="5">
    <w:name w:val="heading 4"/>
    <w:basedOn w:val="1"/>
    <w:link w:val="53"/>
    <w:unhideWhenUsed/>
    <w:qFormat/>
    <w:uiPriority w:val="0"/>
    <w:pPr>
      <w:keepNext/>
      <w:keepLines/>
      <w:spacing w:before="120" w:after="120" w:line="377" w:lineRule="auto"/>
      <w:outlineLvl w:val="3"/>
    </w:pPr>
    <w:rPr>
      <w:rFonts w:asciiTheme="majorHAnsi" w:hAnsiTheme="majorHAnsi" w:eastAsiaTheme="majorEastAsia" w:cstheme="majorBidi"/>
      <w:b/>
      <w:bCs/>
      <w:sz w:val="28"/>
      <w:szCs w:val="28"/>
    </w:rPr>
  </w:style>
  <w:style w:type="paragraph" w:styleId="6">
    <w:name w:val="heading 5"/>
    <w:basedOn w:val="1"/>
    <w:link w:val="54"/>
    <w:unhideWhenUsed/>
    <w:qFormat/>
    <w:uiPriority w:val="9"/>
    <w:pPr>
      <w:keepNext/>
      <w:keepLines/>
      <w:numPr>
        <w:ilvl w:val="4"/>
        <w:numId w:val="1"/>
      </w:numPr>
      <w:spacing w:before="280" w:after="290" w:line="376" w:lineRule="auto"/>
      <w:outlineLvl w:val="4"/>
    </w:pPr>
    <w:rPr>
      <w:b/>
      <w:bCs/>
      <w:sz w:val="28"/>
      <w:szCs w:val="28"/>
    </w:rPr>
  </w:style>
  <w:style w:type="paragraph" w:styleId="7">
    <w:name w:val="heading 6"/>
    <w:basedOn w:val="1"/>
    <w:link w:val="55"/>
    <w:unhideWhenUsed/>
    <w:qFormat/>
    <w:uiPriority w:val="0"/>
    <w:pPr>
      <w:keepNext/>
      <w:keepLines/>
      <w:spacing w:before="240" w:after="64" w:line="320" w:lineRule="auto"/>
      <w:outlineLvl w:val="5"/>
    </w:pPr>
    <w:rPr>
      <w:rFonts w:asciiTheme="majorHAnsi" w:hAnsiTheme="majorHAnsi" w:eastAsiaTheme="majorEastAsia" w:cstheme="majorBidi"/>
      <w:b/>
      <w:bCs/>
      <w:szCs w:val="24"/>
    </w:rPr>
  </w:style>
  <w:style w:type="paragraph" w:styleId="8">
    <w:name w:val="heading 7"/>
    <w:basedOn w:val="1"/>
    <w:link w:val="56"/>
    <w:unhideWhenUsed/>
    <w:qFormat/>
    <w:uiPriority w:val="0"/>
    <w:pPr>
      <w:keepNext/>
      <w:keepLines/>
      <w:spacing w:before="240" w:after="64" w:line="320" w:lineRule="auto"/>
      <w:outlineLvl w:val="6"/>
    </w:pPr>
    <w:rPr>
      <w:b/>
      <w:bCs/>
      <w:szCs w:val="24"/>
    </w:rPr>
  </w:style>
  <w:style w:type="paragraph" w:styleId="9">
    <w:name w:val="heading 8"/>
    <w:basedOn w:val="1"/>
    <w:link w:val="57"/>
    <w:unhideWhenUsed/>
    <w:qFormat/>
    <w:uiPriority w:val="9"/>
    <w:pPr>
      <w:keepNext/>
      <w:keepLines/>
      <w:numPr>
        <w:ilvl w:val="7"/>
        <w:numId w:val="1"/>
      </w:numPr>
      <w:spacing w:before="240" w:after="64" w:line="320" w:lineRule="auto"/>
      <w:outlineLvl w:val="7"/>
    </w:pPr>
    <w:rPr>
      <w:rFonts w:asciiTheme="majorHAnsi" w:hAnsiTheme="majorHAnsi" w:eastAsiaTheme="majorEastAsia" w:cstheme="majorBidi"/>
      <w:szCs w:val="24"/>
    </w:rPr>
  </w:style>
  <w:style w:type="paragraph" w:styleId="10">
    <w:name w:val="heading 9"/>
    <w:basedOn w:val="1"/>
    <w:link w:val="58"/>
    <w:unhideWhenUsed/>
    <w:qFormat/>
    <w:uiPriority w:val="0"/>
    <w:pPr>
      <w:keepNext/>
      <w:keepLines/>
      <w:numPr>
        <w:ilvl w:val="8"/>
        <w:numId w:val="1"/>
      </w:numPr>
      <w:spacing w:before="240" w:after="64" w:line="320" w:lineRule="auto"/>
      <w:outlineLvl w:val="8"/>
    </w:pPr>
    <w:rPr>
      <w:rFonts w:asciiTheme="majorHAnsi" w:hAnsiTheme="majorHAnsi" w:eastAsiaTheme="majorEastAsia" w:cstheme="majorBidi"/>
      <w:szCs w:val="21"/>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11">
    <w:name w:val="toc 7"/>
    <w:basedOn w:val="1"/>
    <w:unhideWhenUsed/>
    <w:qFormat/>
    <w:uiPriority w:val="39"/>
    <w:pPr>
      <w:ind w:left="1440"/>
      <w:jc w:val="left"/>
    </w:pPr>
    <w:rPr>
      <w:sz w:val="18"/>
      <w:szCs w:val="18"/>
    </w:rPr>
  </w:style>
  <w:style w:type="paragraph" w:styleId="12">
    <w:name w:val="List Number"/>
    <w:basedOn w:val="1"/>
    <w:qFormat/>
    <w:uiPriority w:val="0"/>
    <w:pPr>
      <w:widowControl/>
      <w:tabs>
        <w:tab w:val="left" w:pos="360"/>
        <w:tab w:val="left" w:pos="720"/>
      </w:tabs>
      <w:topLinePunct/>
      <w:adjustRightInd w:val="0"/>
      <w:snapToGrid w:val="0"/>
      <w:spacing w:before="160" w:after="160" w:line="240" w:lineRule="atLeast"/>
      <w:ind w:left="420" w:hanging="420"/>
      <w:jc w:val="left"/>
    </w:pPr>
    <w:rPr>
      <w:rFonts w:ascii="Times New Roman" w:hAnsi="Times New Roman" w:cs="Arial"/>
      <w:szCs w:val="21"/>
    </w:rPr>
  </w:style>
  <w:style w:type="paragraph" w:styleId="13">
    <w:name w:val="Normal Indent"/>
    <w:basedOn w:val="1"/>
    <w:link w:val="63"/>
    <w:qFormat/>
    <w:uiPriority w:val="0"/>
    <w:pPr>
      <w:widowControl/>
      <w:spacing w:afterLines="50" w:line="360" w:lineRule="auto"/>
      <w:ind w:firstLine="420" w:firstLineChars="200"/>
      <w:jc w:val="left"/>
    </w:pPr>
    <w:rPr>
      <w:rFonts w:ascii="Times New Roman" w:hAnsi="Times New Roman" w:eastAsia="方正细黑一简体" w:cs="Times New Roman"/>
      <w:szCs w:val="24"/>
      <w:lang w:val="zh-CN"/>
    </w:rPr>
  </w:style>
  <w:style w:type="paragraph" w:styleId="14">
    <w:name w:val="caption"/>
    <w:basedOn w:val="1"/>
    <w:qFormat/>
    <w:uiPriority w:val="0"/>
    <w:rPr>
      <w:rFonts w:ascii="Arial" w:hAnsi="Arial" w:eastAsia="黑体" w:cs="Arial"/>
      <w:sz w:val="20"/>
      <w:szCs w:val="20"/>
    </w:rPr>
  </w:style>
  <w:style w:type="paragraph" w:styleId="15">
    <w:name w:val="List Bullet"/>
    <w:basedOn w:val="1"/>
    <w:qFormat/>
    <w:uiPriority w:val="0"/>
    <w:pPr>
      <w:numPr>
        <w:ilvl w:val="0"/>
        <w:numId w:val="2"/>
      </w:numPr>
      <w:spacing w:beforeLines="50" w:afterLines="50" w:line="360" w:lineRule="auto"/>
    </w:pPr>
    <w:rPr>
      <w:rFonts w:ascii="Times New Roman" w:hAnsi="Times New Roman" w:cs="Times New Roman"/>
      <w:szCs w:val="20"/>
    </w:rPr>
  </w:style>
  <w:style w:type="paragraph" w:styleId="16">
    <w:name w:val="Document Map"/>
    <w:basedOn w:val="1"/>
    <w:link w:val="64"/>
    <w:unhideWhenUsed/>
    <w:qFormat/>
    <w:uiPriority w:val="0"/>
    <w:rPr>
      <w:rFonts w:ascii="Heiti SC Light" w:eastAsia="Heiti SC Light"/>
      <w:szCs w:val="24"/>
    </w:rPr>
  </w:style>
  <w:style w:type="paragraph" w:styleId="17">
    <w:name w:val="annotation text"/>
    <w:basedOn w:val="1"/>
    <w:link w:val="59"/>
    <w:unhideWhenUsed/>
    <w:qFormat/>
    <w:uiPriority w:val="99"/>
    <w:pPr>
      <w:spacing w:line="360" w:lineRule="auto"/>
      <w:ind w:firstLine="200" w:firstLineChars="200"/>
      <w:jc w:val="left"/>
    </w:pPr>
  </w:style>
  <w:style w:type="paragraph" w:styleId="18">
    <w:name w:val="Body Text"/>
    <w:basedOn w:val="1"/>
    <w:next w:val="19"/>
    <w:link w:val="61"/>
    <w:qFormat/>
    <w:uiPriority w:val="0"/>
    <w:pPr>
      <w:spacing w:after="120"/>
    </w:pPr>
    <w:rPr>
      <w:rFonts w:ascii="Times New Roman" w:hAnsi="Times New Roman" w:cs="Times New Roman"/>
      <w:szCs w:val="20"/>
    </w:rPr>
  </w:style>
  <w:style w:type="paragraph" w:styleId="19">
    <w:name w:val="Body Text 2"/>
    <w:basedOn w:val="1"/>
    <w:link w:val="73"/>
    <w:qFormat/>
    <w:uiPriority w:val="0"/>
    <w:pPr>
      <w:spacing w:after="120" w:line="480" w:lineRule="auto"/>
    </w:pPr>
    <w:rPr>
      <w:rFonts w:ascii="Times New Roman" w:hAnsi="Times New Roman" w:cs="Times New Roman"/>
      <w:szCs w:val="20"/>
    </w:rPr>
  </w:style>
  <w:style w:type="paragraph" w:styleId="20">
    <w:name w:val="Body Text Indent"/>
    <w:basedOn w:val="1"/>
    <w:link w:val="65"/>
    <w:qFormat/>
    <w:uiPriority w:val="99"/>
    <w:pPr>
      <w:spacing w:after="120"/>
      <w:ind w:left="420" w:leftChars="200"/>
    </w:pPr>
    <w:rPr>
      <w:rFonts w:ascii="Times New Roman" w:hAnsi="Times New Roman" w:cs="Times New Roman"/>
      <w:szCs w:val="24"/>
    </w:rPr>
  </w:style>
  <w:style w:type="paragraph" w:styleId="21">
    <w:name w:val="toc 5"/>
    <w:basedOn w:val="1"/>
    <w:unhideWhenUsed/>
    <w:qFormat/>
    <w:uiPriority w:val="39"/>
    <w:pPr>
      <w:ind w:left="960"/>
      <w:jc w:val="left"/>
    </w:pPr>
    <w:rPr>
      <w:sz w:val="18"/>
      <w:szCs w:val="18"/>
    </w:rPr>
  </w:style>
  <w:style w:type="paragraph" w:styleId="22">
    <w:name w:val="toc 3"/>
    <w:basedOn w:val="1"/>
    <w:unhideWhenUsed/>
    <w:qFormat/>
    <w:uiPriority w:val="39"/>
    <w:pPr>
      <w:ind w:left="480"/>
      <w:jc w:val="left"/>
    </w:pPr>
    <w:rPr>
      <w:i/>
      <w:sz w:val="22"/>
    </w:rPr>
  </w:style>
  <w:style w:type="paragraph" w:styleId="23">
    <w:name w:val="Plain Text"/>
    <w:basedOn w:val="1"/>
    <w:link w:val="66"/>
    <w:qFormat/>
    <w:uiPriority w:val="0"/>
    <w:pPr>
      <w:widowControl/>
      <w:adjustRightInd w:val="0"/>
      <w:snapToGrid w:val="0"/>
      <w:spacing w:line="360" w:lineRule="auto"/>
      <w:jc w:val="left"/>
    </w:pPr>
    <w:rPr>
      <w:rFonts w:ascii="宋体" w:hAnsi="Courier New"/>
      <w:szCs w:val="20"/>
    </w:rPr>
  </w:style>
  <w:style w:type="paragraph" w:styleId="24">
    <w:name w:val="toc 8"/>
    <w:basedOn w:val="1"/>
    <w:unhideWhenUsed/>
    <w:qFormat/>
    <w:uiPriority w:val="39"/>
    <w:pPr>
      <w:ind w:left="1680"/>
      <w:jc w:val="left"/>
    </w:pPr>
    <w:rPr>
      <w:sz w:val="18"/>
      <w:szCs w:val="18"/>
    </w:rPr>
  </w:style>
  <w:style w:type="paragraph" w:styleId="25">
    <w:name w:val="Date"/>
    <w:basedOn w:val="1"/>
    <w:link w:val="67"/>
    <w:unhideWhenUsed/>
    <w:qFormat/>
    <w:uiPriority w:val="0"/>
    <w:pPr>
      <w:ind w:left="100" w:leftChars="2500"/>
    </w:pPr>
  </w:style>
  <w:style w:type="paragraph" w:styleId="26">
    <w:name w:val="Body Text Indent 2"/>
    <w:basedOn w:val="1"/>
    <w:link w:val="68"/>
    <w:unhideWhenUsed/>
    <w:qFormat/>
    <w:uiPriority w:val="0"/>
    <w:pPr>
      <w:spacing w:after="120" w:line="480" w:lineRule="auto"/>
      <w:ind w:left="420" w:leftChars="200"/>
    </w:pPr>
    <w:rPr>
      <w:rFonts w:ascii="Calibri" w:hAnsi="Calibri"/>
    </w:rPr>
  </w:style>
  <w:style w:type="paragraph" w:styleId="27">
    <w:name w:val="Balloon Text"/>
    <w:basedOn w:val="1"/>
    <w:link w:val="69"/>
    <w:unhideWhenUsed/>
    <w:qFormat/>
    <w:uiPriority w:val="99"/>
    <w:rPr>
      <w:sz w:val="18"/>
      <w:szCs w:val="18"/>
    </w:rPr>
  </w:style>
  <w:style w:type="paragraph" w:styleId="28">
    <w:name w:val="footer"/>
    <w:basedOn w:val="1"/>
    <w:link w:val="70"/>
    <w:qFormat/>
    <w:uiPriority w:val="0"/>
    <w:pPr>
      <w:tabs>
        <w:tab w:val="center" w:pos="4153"/>
        <w:tab w:val="right" w:pos="8306"/>
      </w:tabs>
      <w:snapToGrid w:val="0"/>
      <w:jc w:val="left"/>
    </w:pPr>
    <w:rPr>
      <w:rFonts w:ascii="Times New Roman" w:hAnsi="Times New Roman" w:cs="Times New Roman"/>
      <w:sz w:val="18"/>
      <w:szCs w:val="20"/>
    </w:rPr>
  </w:style>
  <w:style w:type="paragraph" w:styleId="29">
    <w:name w:val="header"/>
    <w:basedOn w:val="1"/>
    <w:link w:val="71"/>
    <w:qFormat/>
    <w:uiPriority w:val="99"/>
    <w:pPr>
      <w:pBdr>
        <w:bottom w:val="single" w:color="auto" w:sz="6" w:space="1"/>
      </w:pBdr>
      <w:tabs>
        <w:tab w:val="center" w:pos="4153"/>
        <w:tab w:val="right" w:pos="8306"/>
      </w:tabs>
      <w:snapToGrid w:val="0"/>
      <w:jc w:val="center"/>
    </w:pPr>
    <w:rPr>
      <w:rFonts w:ascii="Times New Roman" w:hAnsi="Times New Roman" w:cs="Times New Roman"/>
      <w:sz w:val="18"/>
      <w:szCs w:val="20"/>
    </w:rPr>
  </w:style>
  <w:style w:type="paragraph" w:styleId="30">
    <w:name w:val="toc 1"/>
    <w:basedOn w:val="1"/>
    <w:unhideWhenUsed/>
    <w:qFormat/>
    <w:uiPriority w:val="39"/>
    <w:pPr>
      <w:spacing w:before="120"/>
      <w:jc w:val="left"/>
    </w:pPr>
    <w:rPr>
      <w:b/>
      <w:caps/>
      <w:sz w:val="22"/>
    </w:rPr>
  </w:style>
  <w:style w:type="paragraph" w:styleId="31">
    <w:name w:val="toc 4"/>
    <w:basedOn w:val="1"/>
    <w:unhideWhenUsed/>
    <w:qFormat/>
    <w:uiPriority w:val="39"/>
    <w:pPr>
      <w:ind w:left="720"/>
      <w:jc w:val="left"/>
    </w:pPr>
    <w:rPr>
      <w:sz w:val="18"/>
      <w:szCs w:val="18"/>
    </w:rPr>
  </w:style>
  <w:style w:type="paragraph" w:styleId="32">
    <w:name w:val="toc 6"/>
    <w:basedOn w:val="1"/>
    <w:unhideWhenUsed/>
    <w:qFormat/>
    <w:uiPriority w:val="39"/>
    <w:pPr>
      <w:ind w:left="1200"/>
      <w:jc w:val="left"/>
    </w:pPr>
    <w:rPr>
      <w:sz w:val="18"/>
      <w:szCs w:val="18"/>
    </w:rPr>
  </w:style>
  <w:style w:type="paragraph" w:styleId="33">
    <w:name w:val="Body Text Indent 3"/>
    <w:basedOn w:val="1"/>
    <w:link w:val="72"/>
    <w:unhideWhenUsed/>
    <w:qFormat/>
    <w:uiPriority w:val="99"/>
    <w:pPr>
      <w:spacing w:after="120" w:line="360" w:lineRule="auto"/>
      <w:ind w:left="420" w:leftChars="200" w:firstLine="200" w:firstLineChars="200"/>
    </w:pPr>
    <w:rPr>
      <w:sz w:val="16"/>
      <w:szCs w:val="16"/>
    </w:rPr>
  </w:style>
  <w:style w:type="paragraph" w:styleId="34">
    <w:name w:val="table of figures"/>
    <w:basedOn w:val="1"/>
    <w:qFormat/>
    <w:uiPriority w:val="0"/>
    <w:pPr>
      <w:spacing w:line="360" w:lineRule="auto"/>
      <w:ind w:left="840" w:leftChars="200" w:hanging="420" w:hangingChars="200"/>
    </w:pPr>
    <w:rPr>
      <w:rFonts w:ascii="Times New Roman" w:hAnsi="Times New Roman" w:cs="Times New Roman"/>
      <w:szCs w:val="20"/>
    </w:rPr>
  </w:style>
  <w:style w:type="paragraph" w:styleId="35">
    <w:name w:val="toc 2"/>
    <w:basedOn w:val="1"/>
    <w:unhideWhenUsed/>
    <w:qFormat/>
    <w:uiPriority w:val="39"/>
    <w:pPr>
      <w:ind w:left="240"/>
      <w:jc w:val="left"/>
    </w:pPr>
    <w:rPr>
      <w:sz w:val="22"/>
    </w:rPr>
  </w:style>
  <w:style w:type="paragraph" w:styleId="36">
    <w:name w:val="toc 9"/>
    <w:basedOn w:val="1"/>
    <w:unhideWhenUsed/>
    <w:qFormat/>
    <w:uiPriority w:val="39"/>
    <w:pPr>
      <w:ind w:left="1920"/>
      <w:jc w:val="left"/>
    </w:pPr>
    <w:rPr>
      <w:sz w:val="18"/>
      <w:szCs w:val="18"/>
    </w:rPr>
  </w:style>
  <w:style w:type="paragraph" w:styleId="37">
    <w:name w:val="HTML Preformatted"/>
    <w:basedOn w:val="1"/>
    <w:link w:val="74"/>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Cs w:val="24"/>
    </w:rPr>
  </w:style>
  <w:style w:type="paragraph" w:styleId="38">
    <w:name w:val="Normal (Web)"/>
    <w:basedOn w:val="1"/>
    <w:link w:val="75"/>
    <w:unhideWhenUsed/>
    <w:qFormat/>
    <w:uiPriority w:val="99"/>
    <w:pPr>
      <w:widowControl/>
      <w:spacing w:before="100" w:beforeAutospacing="1" w:after="100" w:afterAutospacing="1"/>
      <w:jc w:val="left"/>
    </w:pPr>
    <w:rPr>
      <w:rFonts w:ascii="宋体" w:hAnsi="宋体" w:cs="Times New Roman"/>
      <w:kern w:val="0"/>
      <w:szCs w:val="24"/>
    </w:rPr>
  </w:style>
  <w:style w:type="paragraph" w:styleId="39">
    <w:name w:val="index 1"/>
    <w:basedOn w:val="1"/>
    <w:qFormat/>
    <w:uiPriority w:val="0"/>
    <w:pPr>
      <w:jc w:val="center"/>
    </w:pPr>
    <w:rPr>
      <w:rFonts w:ascii="仿宋_GB2312" w:hAnsi="Times New Roman" w:eastAsia="仿宋_GB2312" w:cs="Times New Roman"/>
      <w:b/>
      <w:bCs/>
      <w:sz w:val="28"/>
      <w:szCs w:val="20"/>
    </w:rPr>
  </w:style>
  <w:style w:type="paragraph" w:styleId="40">
    <w:name w:val="annotation subject"/>
    <w:basedOn w:val="17"/>
    <w:link w:val="60"/>
    <w:unhideWhenUsed/>
    <w:qFormat/>
    <w:uiPriority w:val="99"/>
    <w:rPr>
      <w:b/>
      <w:bCs/>
    </w:rPr>
  </w:style>
  <w:style w:type="paragraph" w:styleId="41">
    <w:name w:val="Body Text First Indent"/>
    <w:basedOn w:val="18"/>
    <w:next w:val="1"/>
    <w:link w:val="62"/>
    <w:unhideWhenUsed/>
    <w:qFormat/>
    <w:uiPriority w:val="0"/>
    <w:pPr>
      <w:ind w:firstLine="420" w:firstLineChars="100"/>
    </w:pPr>
    <w:rPr>
      <w:rFonts w:asciiTheme="minorHAnsi" w:hAnsiTheme="minorHAnsi" w:eastAsiaTheme="minorEastAsia" w:cstheme="minorBidi"/>
      <w:szCs w:val="22"/>
    </w:rPr>
  </w:style>
  <w:style w:type="table" w:styleId="43">
    <w:name w:val="Table Grid"/>
    <w:basedOn w:val="42"/>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5">
    <w:name w:val="Strong"/>
    <w:qFormat/>
    <w:uiPriority w:val="0"/>
    <w:rPr>
      <w:b/>
      <w:bCs/>
    </w:rPr>
  </w:style>
  <w:style w:type="character" w:styleId="46">
    <w:name w:val="page number"/>
    <w:basedOn w:val="44"/>
    <w:qFormat/>
    <w:uiPriority w:val="0"/>
  </w:style>
  <w:style w:type="character" w:styleId="47">
    <w:name w:val="Emphasis"/>
    <w:basedOn w:val="44"/>
    <w:qFormat/>
    <w:uiPriority w:val="20"/>
    <w:rPr>
      <w:color w:val="F73131"/>
    </w:rPr>
  </w:style>
  <w:style w:type="character" w:styleId="48">
    <w:name w:val="Hyperlink"/>
    <w:basedOn w:val="44"/>
    <w:unhideWhenUsed/>
    <w:qFormat/>
    <w:uiPriority w:val="99"/>
    <w:rPr>
      <w:color w:val="0000FF" w:themeColor="hyperlink"/>
      <w:u w:val="single"/>
    </w:rPr>
  </w:style>
  <w:style w:type="character" w:styleId="49">
    <w:name w:val="annotation reference"/>
    <w:basedOn w:val="44"/>
    <w:unhideWhenUsed/>
    <w:qFormat/>
    <w:uiPriority w:val="99"/>
    <w:rPr>
      <w:sz w:val="21"/>
      <w:szCs w:val="21"/>
    </w:rPr>
  </w:style>
  <w:style w:type="character" w:customStyle="1" w:styleId="50">
    <w:name w:val="标题 1 字符"/>
    <w:basedOn w:val="44"/>
    <w:link w:val="2"/>
    <w:qFormat/>
    <w:uiPriority w:val="0"/>
    <w:rPr>
      <w:rFonts w:asciiTheme="minorHAnsi" w:hAnsiTheme="minorHAnsi" w:cstheme="minorBidi"/>
      <w:b/>
      <w:bCs/>
      <w:kern w:val="44"/>
      <w:sz w:val="44"/>
      <w:szCs w:val="44"/>
    </w:rPr>
  </w:style>
  <w:style w:type="character" w:customStyle="1" w:styleId="51">
    <w:name w:val="标题 2 字符"/>
    <w:basedOn w:val="44"/>
    <w:link w:val="3"/>
    <w:qFormat/>
    <w:uiPriority w:val="0"/>
    <w:rPr>
      <w:rFonts w:asciiTheme="majorHAnsi" w:hAnsiTheme="majorHAnsi" w:eastAsiaTheme="majorEastAsia" w:cstheme="majorBidi"/>
      <w:b/>
      <w:bCs/>
      <w:kern w:val="2"/>
      <w:sz w:val="32"/>
      <w:szCs w:val="32"/>
    </w:rPr>
  </w:style>
  <w:style w:type="character" w:customStyle="1" w:styleId="52">
    <w:name w:val="标题 3 字符"/>
    <w:basedOn w:val="44"/>
    <w:link w:val="4"/>
    <w:qFormat/>
    <w:uiPriority w:val="0"/>
    <w:rPr>
      <w:rFonts w:eastAsia="宋体"/>
      <w:b/>
      <w:bCs/>
      <w:kern w:val="2"/>
      <w:sz w:val="32"/>
      <w:szCs w:val="32"/>
    </w:rPr>
  </w:style>
  <w:style w:type="character" w:customStyle="1" w:styleId="53">
    <w:name w:val="标题 4 字符"/>
    <w:basedOn w:val="44"/>
    <w:link w:val="5"/>
    <w:qFormat/>
    <w:uiPriority w:val="0"/>
    <w:rPr>
      <w:rFonts w:asciiTheme="majorHAnsi" w:hAnsiTheme="majorHAnsi" w:eastAsiaTheme="majorEastAsia" w:cstheme="majorBidi"/>
      <w:b/>
      <w:bCs/>
      <w:kern w:val="2"/>
      <w:sz w:val="28"/>
      <w:szCs w:val="28"/>
    </w:rPr>
  </w:style>
  <w:style w:type="character" w:customStyle="1" w:styleId="54">
    <w:name w:val="标题 5 字符"/>
    <w:basedOn w:val="44"/>
    <w:link w:val="6"/>
    <w:qFormat/>
    <w:uiPriority w:val="9"/>
    <w:rPr>
      <w:rFonts w:eastAsia="宋体"/>
      <w:b/>
      <w:bCs/>
      <w:kern w:val="2"/>
      <w:sz w:val="28"/>
      <w:szCs w:val="28"/>
    </w:rPr>
  </w:style>
  <w:style w:type="character" w:customStyle="1" w:styleId="55">
    <w:name w:val="标题 6 字符"/>
    <w:basedOn w:val="44"/>
    <w:link w:val="7"/>
    <w:qFormat/>
    <w:uiPriority w:val="0"/>
    <w:rPr>
      <w:rFonts w:asciiTheme="majorHAnsi" w:hAnsiTheme="majorHAnsi" w:eastAsiaTheme="majorEastAsia" w:cstheme="majorBidi"/>
      <w:b/>
      <w:bCs/>
      <w:kern w:val="2"/>
      <w:sz w:val="24"/>
      <w:szCs w:val="24"/>
    </w:rPr>
  </w:style>
  <w:style w:type="character" w:customStyle="1" w:styleId="56">
    <w:name w:val="标题 7 字符"/>
    <w:basedOn w:val="44"/>
    <w:link w:val="8"/>
    <w:qFormat/>
    <w:uiPriority w:val="9"/>
    <w:rPr>
      <w:rFonts w:eastAsia="宋体"/>
      <w:b/>
      <w:bCs/>
      <w:kern w:val="2"/>
      <w:sz w:val="24"/>
      <w:szCs w:val="24"/>
    </w:rPr>
  </w:style>
  <w:style w:type="character" w:customStyle="1" w:styleId="57">
    <w:name w:val="标题 8 字符"/>
    <w:basedOn w:val="44"/>
    <w:link w:val="9"/>
    <w:qFormat/>
    <w:uiPriority w:val="9"/>
    <w:rPr>
      <w:rFonts w:asciiTheme="majorHAnsi" w:hAnsiTheme="majorHAnsi" w:eastAsiaTheme="majorEastAsia" w:cstheme="majorBidi"/>
      <w:kern w:val="2"/>
      <w:sz w:val="24"/>
      <w:szCs w:val="24"/>
    </w:rPr>
  </w:style>
  <w:style w:type="character" w:customStyle="1" w:styleId="58">
    <w:name w:val="标题 9 字符"/>
    <w:basedOn w:val="44"/>
    <w:link w:val="10"/>
    <w:qFormat/>
    <w:uiPriority w:val="0"/>
    <w:rPr>
      <w:rFonts w:asciiTheme="majorHAnsi" w:hAnsiTheme="majorHAnsi" w:eastAsiaTheme="majorEastAsia" w:cstheme="majorBidi"/>
      <w:kern w:val="2"/>
      <w:sz w:val="24"/>
      <w:szCs w:val="21"/>
    </w:rPr>
  </w:style>
  <w:style w:type="character" w:customStyle="1" w:styleId="59">
    <w:name w:val="批注文字 字符"/>
    <w:basedOn w:val="44"/>
    <w:link w:val="17"/>
    <w:qFormat/>
    <w:uiPriority w:val="99"/>
    <w:rPr>
      <w:sz w:val="24"/>
    </w:rPr>
  </w:style>
  <w:style w:type="character" w:customStyle="1" w:styleId="60">
    <w:name w:val="批注主题 字符"/>
    <w:basedOn w:val="59"/>
    <w:link w:val="40"/>
    <w:qFormat/>
    <w:uiPriority w:val="99"/>
    <w:rPr>
      <w:b/>
      <w:bCs/>
      <w:sz w:val="24"/>
    </w:rPr>
  </w:style>
  <w:style w:type="character" w:customStyle="1" w:styleId="61">
    <w:name w:val="正文文本 字符"/>
    <w:basedOn w:val="44"/>
    <w:link w:val="18"/>
    <w:qFormat/>
    <w:uiPriority w:val="99"/>
    <w:rPr>
      <w:rFonts w:ascii="Times New Roman" w:hAnsi="Times New Roman" w:eastAsia="宋体" w:cs="Times New Roman"/>
      <w:szCs w:val="20"/>
    </w:rPr>
  </w:style>
  <w:style w:type="character" w:customStyle="1" w:styleId="62">
    <w:name w:val="正文文本首行缩进 字符"/>
    <w:basedOn w:val="61"/>
    <w:link w:val="41"/>
    <w:semiHidden/>
    <w:qFormat/>
    <w:uiPriority w:val="99"/>
    <w:rPr>
      <w:rFonts w:ascii="Times New Roman" w:hAnsi="Times New Roman" w:eastAsia="宋体" w:cs="Times New Roman"/>
      <w:kern w:val="2"/>
      <w:sz w:val="24"/>
      <w:szCs w:val="22"/>
    </w:rPr>
  </w:style>
  <w:style w:type="character" w:customStyle="1" w:styleId="63">
    <w:name w:val="正文缩进 字符"/>
    <w:link w:val="13"/>
    <w:qFormat/>
    <w:uiPriority w:val="0"/>
    <w:rPr>
      <w:rFonts w:ascii="Times New Roman" w:hAnsi="Times New Roman" w:eastAsia="方正细黑一简体" w:cs="Times New Roman"/>
      <w:szCs w:val="24"/>
      <w:lang w:val="zh-CN" w:eastAsia="zh-CN"/>
    </w:rPr>
  </w:style>
  <w:style w:type="character" w:customStyle="1" w:styleId="64">
    <w:name w:val="文档结构图 字符"/>
    <w:basedOn w:val="44"/>
    <w:link w:val="16"/>
    <w:qFormat/>
    <w:uiPriority w:val="0"/>
    <w:rPr>
      <w:rFonts w:ascii="Heiti SC Light" w:eastAsia="Heiti SC Light"/>
      <w:sz w:val="24"/>
      <w:szCs w:val="24"/>
    </w:rPr>
  </w:style>
  <w:style w:type="character" w:customStyle="1" w:styleId="65">
    <w:name w:val="正文文本缩进 字符"/>
    <w:basedOn w:val="44"/>
    <w:link w:val="20"/>
    <w:qFormat/>
    <w:uiPriority w:val="99"/>
    <w:rPr>
      <w:rFonts w:ascii="Times New Roman" w:hAnsi="Times New Roman" w:eastAsia="宋体" w:cs="Times New Roman"/>
      <w:szCs w:val="24"/>
    </w:rPr>
  </w:style>
  <w:style w:type="character" w:customStyle="1" w:styleId="66">
    <w:name w:val="纯文本 字符"/>
    <w:link w:val="23"/>
    <w:qFormat/>
    <w:uiPriority w:val="0"/>
    <w:rPr>
      <w:rFonts w:ascii="宋体" w:hAnsi="Courier New" w:eastAsia="宋体"/>
      <w:szCs w:val="20"/>
    </w:rPr>
  </w:style>
  <w:style w:type="character" w:customStyle="1" w:styleId="67">
    <w:name w:val="日期 字符"/>
    <w:basedOn w:val="44"/>
    <w:link w:val="25"/>
    <w:qFormat/>
    <w:uiPriority w:val="0"/>
  </w:style>
  <w:style w:type="character" w:customStyle="1" w:styleId="68">
    <w:name w:val="正文文本缩进 2 字符"/>
    <w:link w:val="26"/>
    <w:qFormat/>
    <w:uiPriority w:val="0"/>
    <w:rPr>
      <w:rFonts w:ascii="Calibri" w:hAnsi="Calibri"/>
    </w:rPr>
  </w:style>
  <w:style w:type="character" w:customStyle="1" w:styleId="69">
    <w:name w:val="批注框文本 字符"/>
    <w:basedOn w:val="44"/>
    <w:link w:val="27"/>
    <w:qFormat/>
    <w:uiPriority w:val="99"/>
    <w:rPr>
      <w:sz w:val="18"/>
      <w:szCs w:val="18"/>
    </w:rPr>
  </w:style>
  <w:style w:type="character" w:customStyle="1" w:styleId="70">
    <w:name w:val="页脚 字符"/>
    <w:basedOn w:val="44"/>
    <w:link w:val="28"/>
    <w:qFormat/>
    <w:uiPriority w:val="99"/>
    <w:rPr>
      <w:rFonts w:ascii="Times New Roman" w:hAnsi="Times New Roman" w:eastAsia="宋体" w:cs="Times New Roman"/>
      <w:sz w:val="18"/>
      <w:szCs w:val="20"/>
    </w:rPr>
  </w:style>
  <w:style w:type="character" w:customStyle="1" w:styleId="71">
    <w:name w:val="页眉 字符"/>
    <w:basedOn w:val="44"/>
    <w:link w:val="29"/>
    <w:qFormat/>
    <w:uiPriority w:val="99"/>
    <w:rPr>
      <w:rFonts w:ascii="Times New Roman" w:hAnsi="Times New Roman" w:eastAsia="宋体" w:cs="Times New Roman"/>
      <w:sz w:val="18"/>
      <w:szCs w:val="20"/>
    </w:rPr>
  </w:style>
  <w:style w:type="character" w:customStyle="1" w:styleId="72">
    <w:name w:val="正文文本缩进 3 字符"/>
    <w:basedOn w:val="44"/>
    <w:link w:val="33"/>
    <w:semiHidden/>
    <w:qFormat/>
    <w:uiPriority w:val="99"/>
    <w:rPr>
      <w:sz w:val="16"/>
      <w:szCs w:val="16"/>
    </w:rPr>
  </w:style>
  <w:style w:type="character" w:customStyle="1" w:styleId="73">
    <w:name w:val="正文文本 2 字符"/>
    <w:basedOn w:val="44"/>
    <w:link w:val="19"/>
    <w:qFormat/>
    <w:uiPriority w:val="0"/>
    <w:rPr>
      <w:rFonts w:ascii="Times New Roman" w:hAnsi="Times New Roman" w:eastAsia="宋体" w:cs="Times New Roman"/>
      <w:szCs w:val="20"/>
    </w:rPr>
  </w:style>
  <w:style w:type="character" w:customStyle="1" w:styleId="74">
    <w:name w:val="HTML 预设格式 字符"/>
    <w:basedOn w:val="44"/>
    <w:link w:val="37"/>
    <w:semiHidden/>
    <w:qFormat/>
    <w:uiPriority w:val="99"/>
    <w:rPr>
      <w:rFonts w:ascii="宋体" w:hAnsi="宋体" w:eastAsia="宋体" w:cs="宋体"/>
      <w:kern w:val="0"/>
      <w:sz w:val="24"/>
      <w:szCs w:val="24"/>
    </w:rPr>
  </w:style>
  <w:style w:type="character" w:customStyle="1" w:styleId="75">
    <w:name w:val="普通(网站) 字符"/>
    <w:link w:val="38"/>
    <w:qFormat/>
    <w:uiPriority w:val="99"/>
    <w:rPr>
      <w:rFonts w:ascii="宋体" w:hAnsi="宋体" w:eastAsia="宋体" w:cs="Times New Roman"/>
      <w:kern w:val="0"/>
      <w:sz w:val="24"/>
      <w:szCs w:val="24"/>
    </w:rPr>
  </w:style>
  <w:style w:type="paragraph" w:customStyle="1" w:styleId="76">
    <w:name w:val="列出段落1"/>
    <w:basedOn w:val="1"/>
    <w:link w:val="77"/>
    <w:qFormat/>
    <w:uiPriority w:val="99"/>
    <w:pPr>
      <w:ind w:firstLine="420" w:firstLineChars="200"/>
    </w:pPr>
  </w:style>
  <w:style w:type="character" w:customStyle="1" w:styleId="77">
    <w:name w:val="列出段落字符"/>
    <w:link w:val="76"/>
    <w:qFormat/>
    <w:uiPriority w:val="99"/>
  </w:style>
  <w:style w:type="paragraph" w:customStyle="1" w:styleId="78">
    <w:name w:val="Char"/>
    <w:basedOn w:val="1"/>
    <w:qFormat/>
    <w:uiPriority w:val="0"/>
    <w:pPr>
      <w:tabs>
        <w:tab w:val="left" w:pos="360"/>
      </w:tabs>
    </w:pPr>
    <w:rPr>
      <w:rFonts w:ascii="Times New Roman" w:hAnsi="Times New Roman" w:cs="Times New Roman"/>
      <w:szCs w:val="24"/>
    </w:rPr>
  </w:style>
  <w:style w:type="paragraph" w:customStyle="1" w:styleId="79">
    <w:name w:val="规范正文"/>
    <w:basedOn w:val="1"/>
    <w:qFormat/>
    <w:uiPriority w:val="0"/>
    <w:pPr>
      <w:adjustRightInd w:val="0"/>
      <w:spacing w:line="360" w:lineRule="auto"/>
      <w:ind w:left="480"/>
    </w:pPr>
    <w:rPr>
      <w:rFonts w:ascii="Times New Roman" w:hAnsi="Times New Roman" w:cs="Times New Roman"/>
      <w:kern w:val="0"/>
      <w:szCs w:val="20"/>
    </w:rPr>
  </w:style>
  <w:style w:type="paragraph" w:customStyle="1" w:styleId="80">
    <w:name w:val="GW-正文"/>
    <w:basedOn w:val="1"/>
    <w:link w:val="81"/>
    <w:qFormat/>
    <w:uiPriority w:val="0"/>
    <w:pPr>
      <w:widowControl/>
      <w:spacing w:beforeLines="50" w:afterLines="50" w:line="360" w:lineRule="auto"/>
      <w:ind w:firstLine="480" w:firstLineChars="200"/>
      <w:jc w:val="left"/>
    </w:pPr>
    <w:rPr>
      <w:rFonts w:ascii="宋体" w:hAnsi="宋体" w:cs="Times New Roman"/>
      <w:color w:val="000000"/>
      <w:kern w:val="0"/>
      <w:szCs w:val="28"/>
      <w:lang w:bidi="en-US"/>
    </w:rPr>
  </w:style>
  <w:style w:type="character" w:customStyle="1" w:styleId="81">
    <w:name w:val="GW-正文 Char"/>
    <w:link w:val="80"/>
    <w:qFormat/>
    <w:uiPriority w:val="0"/>
    <w:rPr>
      <w:rFonts w:ascii="宋体" w:hAnsi="宋体" w:eastAsia="宋体" w:cs="Times New Roman"/>
      <w:color w:val="000000"/>
      <w:kern w:val="0"/>
      <w:sz w:val="24"/>
      <w:szCs w:val="28"/>
      <w:lang w:bidi="en-US"/>
    </w:rPr>
  </w:style>
  <w:style w:type="paragraph" w:customStyle="1" w:styleId="82">
    <w:name w:val="GW-标题1"/>
    <w:basedOn w:val="2"/>
    <w:link w:val="83"/>
    <w:qFormat/>
    <w:uiPriority w:val="0"/>
    <w:pPr>
      <w:keepNext w:val="0"/>
      <w:keepLines w:val="0"/>
      <w:widowControl/>
      <w:numPr>
        <w:numId w:val="0"/>
      </w:numPr>
      <w:spacing w:beforeLines="100" w:afterLines="100"/>
      <w:contextualSpacing/>
      <w:jc w:val="left"/>
    </w:pPr>
    <w:rPr>
      <w:rFonts w:ascii="Calibri" w:hAnsi="Calibri" w:cs="Times New Roman"/>
      <w:kern w:val="0"/>
      <w:sz w:val="48"/>
      <w:szCs w:val="28"/>
      <w:lang w:eastAsia="en-US" w:bidi="en-US"/>
    </w:rPr>
  </w:style>
  <w:style w:type="character" w:customStyle="1" w:styleId="83">
    <w:name w:val="GW-标题1 Char"/>
    <w:link w:val="82"/>
    <w:qFormat/>
    <w:uiPriority w:val="0"/>
    <w:rPr>
      <w:rFonts w:ascii="Calibri" w:hAnsi="Calibri" w:eastAsia="宋体" w:cs="Times New Roman"/>
      <w:b/>
      <w:bCs/>
      <w:kern w:val="0"/>
      <w:sz w:val="48"/>
      <w:szCs w:val="28"/>
      <w:lang w:eastAsia="en-US" w:bidi="en-US"/>
    </w:rPr>
  </w:style>
  <w:style w:type="paragraph" w:customStyle="1" w:styleId="84">
    <w:name w:val="GW-标题2"/>
    <w:basedOn w:val="82"/>
    <w:link w:val="85"/>
    <w:qFormat/>
    <w:uiPriority w:val="0"/>
    <w:pPr>
      <w:keepNext/>
      <w:keepLines/>
      <w:widowControl w:val="0"/>
      <w:outlineLvl w:val="1"/>
    </w:pPr>
    <w:rPr>
      <w:rFonts w:ascii="宋体" w:hAnsi="宋体"/>
      <w:sz w:val="32"/>
    </w:rPr>
  </w:style>
  <w:style w:type="character" w:customStyle="1" w:styleId="85">
    <w:name w:val="GW-标题2 Char"/>
    <w:link w:val="84"/>
    <w:qFormat/>
    <w:uiPriority w:val="0"/>
    <w:rPr>
      <w:rFonts w:ascii="宋体" w:hAnsi="宋体" w:eastAsia="宋体" w:cs="Times New Roman"/>
      <w:b/>
      <w:bCs/>
      <w:kern w:val="0"/>
      <w:sz w:val="32"/>
      <w:szCs w:val="28"/>
      <w:lang w:eastAsia="en-US" w:bidi="en-US"/>
    </w:rPr>
  </w:style>
  <w:style w:type="paragraph" w:customStyle="1" w:styleId="86">
    <w:name w:val="GW-标题3"/>
    <w:basedOn w:val="4"/>
    <w:link w:val="87"/>
    <w:qFormat/>
    <w:uiPriority w:val="0"/>
    <w:pPr>
      <w:numPr>
        <w:ilvl w:val="0"/>
        <w:numId w:val="0"/>
      </w:numPr>
      <w:spacing w:beforeLines="50" w:afterLines="50" w:line="360" w:lineRule="auto"/>
    </w:pPr>
    <w:rPr>
      <w:rFonts w:ascii="仿宋_GB2312" w:hAnsi="Calibri" w:cs="Times New Roman"/>
      <w:kern w:val="0"/>
      <w:sz w:val="30"/>
      <w:szCs w:val="24"/>
      <w:lang w:eastAsia="en-US" w:bidi="en-US"/>
    </w:rPr>
  </w:style>
  <w:style w:type="character" w:customStyle="1" w:styleId="87">
    <w:name w:val="GW-标题3 Char"/>
    <w:link w:val="86"/>
    <w:qFormat/>
    <w:uiPriority w:val="0"/>
    <w:rPr>
      <w:rFonts w:ascii="仿宋_GB2312" w:hAnsi="Calibri" w:eastAsia="宋体" w:cs="Times New Roman"/>
      <w:b/>
      <w:bCs/>
      <w:kern w:val="0"/>
      <w:sz w:val="30"/>
      <w:szCs w:val="24"/>
      <w:lang w:eastAsia="en-US" w:bidi="en-US"/>
    </w:rPr>
  </w:style>
  <w:style w:type="paragraph" w:customStyle="1" w:styleId="88">
    <w:name w:val="GW-标题4"/>
    <w:basedOn w:val="86"/>
    <w:link w:val="89"/>
    <w:qFormat/>
    <w:uiPriority w:val="0"/>
    <w:pPr>
      <w:widowControl/>
      <w:spacing w:beforeLines="0" w:line="259" w:lineRule="auto"/>
      <w:jc w:val="left"/>
      <w:outlineLvl w:val="3"/>
    </w:pPr>
    <w:rPr>
      <w:rFonts w:ascii="微软雅黑" w:hAnsi="微软雅黑" w:eastAsia="微软雅黑"/>
      <w:b w:val="0"/>
      <w:bCs w:val="0"/>
      <w:sz w:val="28"/>
      <w:szCs w:val="21"/>
      <w:lang w:eastAsia="zh-CN"/>
    </w:rPr>
  </w:style>
  <w:style w:type="character" w:customStyle="1" w:styleId="89">
    <w:name w:val="GW-标题4 Char"/>
    <w:link w:val="88"/>
    <w:qFormat/>
    <w:uiPriority w:val="0"/>
    <w:rPr>
      <w:rFonts w:ascii="微软雅黑" w:hAnsi="微软雅黑" w:eastAsia="微软雅黑" w:cs="Times New Roman"/>
      <w:kern w:val="0"/>
      <w:sz w:val="28"/>
      <w:szCs w:val="21"/>
      <w:lang w:bidi="en-US"/>
    </w:rPr>
  </w:style>
  <w:style w:type="paragraph" w:customStyle="1" w:styleId="90">
    <w:name w:val="GW-标题5"/>
    <w:basedOn w:val="88"/>
    <w:qFormat/>
    <w:uiPriority w:val="0"/>
    <w:pPr>
      <w:outlineLvl w:val="4"/>
    </w:pPr>
    <w:rPr>
      <w:bCs/>
    </w:rPr>
  </w:style>
  <w:style w:type="paragraph" w:customStyle="1" w:styleId="91">
    <w:name w:val="GW-标题6"/>
    <w:basedOn w:val="90"/>
    <w:qFormat/>
    <w:uiPriority w:val="0"/>
    <w:pPr>
      <w:snapToGrid w:val="0"/>
      <w:outlineLvl w:val="5"/>
    </w:pPr>
    <w:rPr>
      <w:bCs w:val="0"/>
      <w:sz w:val="24"/>
    </w:rPr>
  </w:style>
  <w:style w:type="paragraph" w:customStyle="1" w:styleId="92">
    <w:name w:val="GW-标题7"/>
    <w:basedOn w:val="91"/>
    <w:qFormat/>
    <w:uiPriority w:val="0"/>
    <w:pPr>
      <w:outlineLvl w:val="6"/>
    </w:pPr>
    <w:rPr>
      <w:i/>
    </w:rPr>
  </w:style>
  <w:style w:type="paragraph" w:customStyle="1" w:styleId="93">
    <w:name w:val="段落文字"/>
    <w:basedOn w:val="1"/>
    <w:link w:val="94"/>
    <w:qFormat/>
    <w:uiPriority w:val="0"/>
    <w:pPr>
      <w:spacing w:line="360" w:lineRule="auto"/>
      <w:ind w:firstLine="420" w:firstLineChars="200"/>
    </w:pPr>
    <w:rPr>
      <w:rFonts w:ascii="Times New Roman" w:hAnsi="Times New Roman" w:cs="宋体"/>
      <w:szCs w:val="20"/>
    </w:rPr>
  </w:style>
  <w:style w:type="character" w:customStyle="1" w:styleId="94">
    <w:name w:val="段落文字 Char1"/>
    <w:basedOn w:val="44"/>
    <w:link w:val="93"/>
    <w:qFormat/>
    <w:uiPriority w:val="0"/>
    <w:rPr>
      <w:rFonts w:ascii="Times New Roman" w:hAnsi="Times New Roman" w:eastAsia="宋体" w:cs="宋体"/>
      <w:szCs w:val="20"/>
    </w:rPr>
  </w:style>
  <w:style w:type="paragraph" w:customStyle="1" w:styleId="95">
    <w:name w:val="表格文字"/>
    <w:basedOn w:val="1"/>
    <w:link w:val="96"/>
    <w:qFormat/>
    <w:uiPriority w:val="0"/>
    <w:rPr>
      <w:rFonts w:ascii="Times New Roman" w:hAnsi="Times New Roman" w:cs="宋体"/>
      <w:szCs w:val="20"/>
    </w:rPr>
  </w:style>
  <w:style w:type="character" w:customStyle="1" w:styleId="96">
    <w:name w:val="表格文字 Char"/>
    <w:basedOn w:val="44"/>
    <w:link w:val="95"/>
    <w:qFormat/>
    <w:uiPriority w:val="0"/>
    <w:rPr>
      <w:rFonts w:ascii="Times New Roman" w:hAnsi="Times New Roman" w:eastAsia="宋体" w:cs="宋体"/>
      <w:szCs w:val="20"/>
    </w:rPr>
  </w:style>
  <w:style w:type="character" w:customStyle="1" w:styleId="97">
    <w:name w:val="纯文本 Char1"/>
    <w:basedOn w:val="44"/>
    <w:qFormat/>
    <w:uiPriority w:val="0"/>
    <w:rPr>
      <w:rFonts w:ascii="宋体" w:hAnsi="Courier New" w:eastAsia="宋体" w:cs="Courier New"/>
      <w:szCs w:val="21"/>
    </w:rPr>
  </w:style>
  <w:style w:type="paragraph" w:customStyle="1" w:styleId="98">
    <w:name w:val="p0"/>
    <w:basedOn w:val="1"/>
    <w:qFormat/>
    <w:uiPriority w:val="0"/>
    <w:pPr>
      <w:widowControl/>
    </w:pPr>
    <w:rPr>
      <w:rFonts w:ascii="Times New Roman" w:hAnsi="Times New Roman" w:cs="Times New Roman"/>
      <w:kern w:val="0"/>
      <w:szCs w:val="21"/>
    </w:rPr>
  </w:style>
  <w:style w:type="paragraph" w:customStyle="1" w:styleId="99">
    <w:name w:val="文章正文"/>
    <w:basedOn w:val="1"/>
    <w:link w:val="100"/>
    <w:qFormat/>
    <w:uiPriority w:val="0"/>
    <w:pPr>
      <w:spacing w:line="360" w:lineRule="auto"/>
      <w:ind w:firstLine="200" w:firstLineChars="200"/>
    </w:pPr>
    <w:rPr>
      <w:rFonts w:ascii="Times New Roman" w:hAnsi="Times New Roman" w:cs="Times New Roman"/>
      <w:kern w:val="0"/>
      <w:szCs w:val="24"/>
    </w:rPr>
  </w:style>
  <w:style w:type="character" w:customStyle="1" w:styleId="100">
    <w:name w:val="文章正文 Char"/>
    <w:link w:val="99"/>
    <w:qFormat/>
    <w:uiPriority w:val="0"/>
    <w:rPr>
      <w:rFonts w:ascii="Times New Roman" w:hAnsi="Times New Roman" w:eastAsia="宋体" w:cs="Times New Roman"/>
      <w:kern w:val="0"/>
      <w:sz w:val="24"/>
      <w:szCs w:val="24"/>
    </w:rPr>
  </w:style>
  <w:style w:type="paragraph" w:customStyle="1" w:styleId="101">
    <w:name w:val="列表123"/>
    <w:basedOn w:val="1"/>
    <w:link w:val="102"/>
    <w:qFormat/>
    <w:uiPriority w:val="0"/>
    <w:pPr>
      <w:spacing w:beforeLines="30" w:afterLines="30" w:line="360" w:lineRule="auto"/>
      <w:jc w:val="left"/>
    </w:pPr>
    <w:rPr>
      <w:rFonts w:ascii="Times New Roman" w:hAnsi="Times New Roman" w:cs="Times New Roman"/>
      <w:szCs w:val="24"/>
    </w:rPr>
  </w:style>
  <w:style w:type="character" w:customStyle="1" w:styleId="102">
    <w:name w:val="列表123 Char"/>
    <w:link w:val="101"/>
    <w:qFormat/>
    <w:uiPriority w:val="0"/>
    <w:rPr>
      <w:rFonts w:ascii="Times New Roman" w:hAnsi="Times New Roman" w:eastAsia="宋体" w:cs="Times New Roman"/>
      <w:sz w:val="24"/>
      <w:szCs w:val="24"/>
    </w:rPr>
  </w:style>
  <w:style w:type="character" w:customStyle="1" w:styleId="103">
    <w:name w:val="GW-正文 Char Char"/>
    <w:qFormat/>
    <w:uiPriority w:val="0"/>
    <w:rPr>
      <w:rFonts w:ascii="宋体" w:hAnsi="宋体"/>
      <w:sz w:val="24"/>
    </w:rPr>
  </w:style>
  <w:style w:type="paragraph" w:customStyle="1" w:styleId="104">
    <w:name w:val="自定义正文"/>
    <w:basedOn w:val="1"/>
    <w:link w:val="105"/>
    <w:qFormat/>
    <w:uiPriority w:val="0"/>
    <w:pPr>
      <w:spacing w:afterLines="50" w:line="360" w:lineRule="auto"/>
      <w:ind w:firstLine="200" w:firstLineChars="200"/>
      <w:jc w:val="left"/>
    </w:pPr>
    <w:rPr>
      <w:rFonts w:ascii="Times New Roman" w:hAnsi="Times New Roman" w:eastAsia="方正细黑一简体" w:cs="Times New Roman"/>
      <w:szCs w:val="24"/>
      <w:lang w:val="zh-CN"/>
    </w:rPr>
  </w:style>
  <w:style w:type="character" w:customStyle="1" w:styleId="105">
    <w:name w:val="自定义正文 Char Char"/>
    <w:link w:val="104"/>
    <w:qFormat/>
    <w:uiPriority w:val="0"/>
    <w:rPr>
      <w:rFonts w:ascii="Times New Roman" w:hAnsi="Times New Roman" w:eastAsia="方正细黑一简体" w:cs="Times New Roman"/>
      <w:sz w:val="24"/>
      <w:szCs w:val="24"/>
      <w:lang w:val="zh-CN" w:eastAsia="zh-CN"/>
    </w:rPr>
  </w:style>
  <w:style w:type="paragraph" w:customStyle="1" w:styleId="106">
    <w:name w:val="自定义表格文字"/>
    <w:basedOn w:val="104"/>
    <w:qFormat/>
    <w:uiPriority w:val="0"/>
    <w:pPr>
      <w:spacing w:before="60" w:afterLines="0" w:line="320" w:lineRule="exact"/>
      <w:ind w:firstLine="0" w:firstLineChars="0"/>
    </w:pPr>
    <w:rPr>
      <w:rFonts w:ascii="宋体" w:eastAsia="楷体_GB2312"/>
      <w:sz w:val="21"/>
    </w:rPr>
  </w:style>
  <w:style w:type="paragraph" w:customStyle="1" w:styleId="107">
    <w:name w:val="投标中宋"/>
    <w:basedOn w:val="1"/>
    <w:qFormat/>
    <w:uiPriority w:val="0"/>
    <w:pPr>
      <w:widowControl/>
      <w:snapToGrid w:val="0"/>
      <w:spacing w:line="259" w:lineRule="auto"/>
      <w:jc w:val="left"/>
    </w:pPr>
    <w:rPr>
      <w:rFonts w:ascii="华文中宋" w:hAnsi="华文中宋" w:eastAsia="华文中宋" w:cs="Times New Roman"/>
      <w:kern w:val="0"/>
      <w:sz w:val="22"/>
      <w:szCs w:val="24"/>
    </w:rPr>
  </w:style>
  <w:style w:type="paragraph" w:customStyle="1" w:styleId="108">
    <w:name w:val="z-正文"/>
    <w:basedOn w:val="1"/>
    <w:link w:val="109"/>
    <w:qFormat/>
    <w:uiPriority w:val="0"/>
    <w:pPr>
      <w:widowControl/>
      <w:spacing w:before="120" w:after="120" w:line="360" w:lineRule="auto"/>
      <w:ind w:firstLine="200" w:firstLineChars="200"/>
      <w:jc w:val="left"/>
    </w:pPr>
    <w:rPr>
      <w:rFonts w:ascii="Calibri" w:hAnsi="Calibri" w:cs="Times New Roman"/>
      <w:kern w:val="0"/>
      <w:sz w:val="22"/>
      <w:szCs w:val="20"/>
    </w:rPr>
  </w:style>
  <w:style w:type="character" w:customStyle="1" w:styleId="109">
    <w:name w:val="z-正文 Char"/>
    <w:link w:val="108"/>
    <w:qFormat/>
    <w:uiPriority w:val="0"/>
    <w:rPr>
      <w:rFonts w:ascii="Calibri" w:hAnsi="Calibri" w:eastAsia="宋体" w:cs="Times New Roman"/>
      <w:kern w:val="0"/>
      <w:sz w:val="22"/>
      <w:szCs w:val="20"/>
    </w:rPr>
  </w:style>
  <w:style w:type="paragraph" w:customStyle="1" w:styleId="110">
    <w:name w:val="GW-标题8"/>
    <w:basedOn w:val="92"/>
    <w:unhideWhenUsed/>
    <w:qFormat/>
    <w:uiPriority w:val="0"/>
    <w:pPr>
      <w:snapToGrid/>
      <w:spacing w:before="40" w:afterLines="0"/>
      <w:ind w:left="1986" w:hanging="1418"/>
      <w:outlineLvl w:val="7"/>
    </w:pPr>
    <w:rPr>
      <w:rFonts w:ascii="Cambria" w:hAnsi="Cambria" w:eastAsia="宋体"/>
      <w:b/>
      <w:i w:val="0"/>
      <w:kern w:val="2"/>
      <w:sz w:val="21"/>
      <w:szCs w:val="20"/>
      <w:lang w:val="zh-CN" w:bidi="ar-SA"/>
    </w:rPr>
  </w:style>
  <w:style w:type="paragraph" w:customStyle="1" w:styleId="111">
    <w:name w:val="标准文本"/>
    <w:basedOn w:val="1"/>
    <w:link w:val="112"/>
    <w:qFormat/>
    <w:uiPriority w:val="0"/>
    <w:rPr>
      <w:rFonts w:ascii="Times New Roman" w:hAnsi="Times New Roman" w:cs="Times New Roman"/>
      <w:szCs w:val="20"/>
    </w:rPr>
  </w:style>
  <w:style w:type="character" w:customStyle="1" w:styleId="112">
    <w:name w:val="标准文本 Char Char"/>
    <w:link w:val="111"/>
    <w:unhideWhenUsed/>
    <w:qFormat/>
    <w:uiPriority w:val="0"/>
    <w:rPr>
      <w:rFonts w:ascii="Times New Roman" w:hAnsi="Times New Roman" w:eastAsia="宋体" w:cs="Times New Roman"/>
      <w:szCs w:val="20"/>
    </w:rPr>
  </w:style>
  <w:style w:type="paragraph" w:customStyle="1" w:styleId="113">
    <w:name w:val="123123123"/>
    <w:basedOn w:val="1"/>
    <w:link w:val="114"/>
    <w:qFormat/>
    <w:uiPriority w:val="0"/>
    <w:pPr>
      <w:widowControl/>
      <w:spacing w:after="160" w:line="360" w:lineRule="auto"/>
      <w:ind w:firstLine="420"/>
      <w:jc w:val="left"/>
    </w:pPr>
    <w:rPr>
      <w:rFonts w:ascii="宋体" w:hAnsi="宋体" w:eastAsia="方正细黑一简体" w:cs="Times New Roman"/>
      <w:szCs w:val="24"/>
    </w:rPr>
  </w:style>
  <w:style w:type="character" w:customStyle="1" w:styleId="114">
    <w:name w:val="123123123 Char"/>
    <w:link w:val="113"/>
    <w:qFormat/>
    <w:uiPriority w:val="0"/>
    <w:rPr>
      <w:rFonts w:ascii="宋体" w:hAnsi="宋体" w:eastAsia="方正细黑一简体" w:cs="Times New Roman"/>
      <w:sz w:val="24"/>
      <w:szCs w:val="24"/>
    </w:rPr>
  </w:style>
  <w:style w:type="character" w:customStyle="1" w:styleId="115">
    <w:name w:val="图名 Char Char"/>
    <w:link w:val="116"/>
    <w:qFormat/>
    <w:uiPriority w:val="0"/>
    <w:rPr>
      <w:rFonts w:ascii="Times New Roman" w:hAnsi="Times New Roman" w:cs="宋体"/>
      <w:b/>
      <w:sz w:val="24"/>
      <w:szCs w:val="24"/>
    </w:rPr>
  </w:style>
  <w:style w:type="paragraph" w:customStyle="1" w:styleId="116">
    <w:name w:val="图名"/>
    <w:basedOn w:val="1"/>
    <w:link w:val="115"/>
    <w:qFormat/>
    <w:uiPriority w:val="0"/>
    <w:pPr>
      <w:spacing w:beforeLines="100" w:line="360" w:lineRule="auto"/>
      <w:jc w:val="center"/>
    </w:pPr>
    <w:rPr>
      <w:rFonts w:ascii="Times New Roman" w:hAnsi="Times New Roman" w:cs="宋体"/>
      <w:b/>
      <w:szCs w:val="24"/>
    </w:rPr>
  </w:style>
  <w:style w:type="paragraph" w:customStyle="1" w:styleId="117">
    <w:name w:val="p15"/>
    <w:basedOn w:val="1"/>
    <w:qFormat/>
    <w:uiPriority w:val="0"/>
    <w:pPr>
      <w:widowControl/>
      <w:spacing w:line="360" w:lineRule="auto"/>
      <w:ind w:firstLine="420"/>
    </w:pPr>
    <w:rPr>
      <w:rFonts w:ascii="Times New Roman" w:hAnsi="Times New Roman" w:cs="Times New Roman"/>
      <w:kern w:val="0"/>
      <w:szCs w:val="24"/>
    </w:rPr>
  </w:style>
  <w:style w:type="paragraph" w:customStyle="1" w:styleId="118">
    <w:name w:val="列出段落11"/>
    <w:basedOn w:val="1"/>
    <w:qFormat/>
    <w:uiPriority w:val="0"/>
    <w:pPr>
      <w:spacing w:line="360" w:lineRule="auto"/>
      <w:ind w:firstLine="420"/>
    </w:pPr>
    <w:rPr>
      <w:rFonts w:ascii="Calibri" w:hAnsi="Calibri" w:cs="黑体"/>
    </w:rPr>
  </w:style>
  <w:style w:type="paragraph" w:customStyle="1" w:styleId="119">
    <w:name w:val="正文o"/>
    <w:basedOn w:val="108"/>
    <w:link w:val="120"/>
    <w:qFormat/>
    <w:uiPriority w:val="0"/>
    <w:pPr>
      <w:spacing w:line="240" w:lineRule="atLeast"/>
      <w:ind w:firstLine="0" w:firstLineChars="0"/>
    </w:pPr>
    <w:rPr>
      <w:rFonts w:ascii="微软雅黑" w:hAnsi="微软雅黑" w:eastAsia="微软雅黑"/>
      <w:sz w:val="21"/>
      <w:szCs w:val="21"/>
    </w:rPr>
  </w:style>
  <w:style w:type="character" w:customStyle="1" w:styleId="120">
    <w:name w:val="正文o Char"/>
    <w:link w:val="119"/>
    <w:qFormat/>
    <w:uiPriority w:val="0"/>
    <w:rPr>
      <w:rFonts w:ascii="微软雅黑" w:hAnsi="微软雅黑" w:eastAsia="微软雅黑" w:cs="Times New Roman"/>
      <w:kern w:val="0"/>
      <w:szCs w:val="21"/>
    </w:rPr>
  </w:style>
  <w:style w:type="paragraph" w:customStyle="1" w:styleId="121">
    <w:name w:val="p18"/>
    <w:basedOn w:val="1"/>
    <w:qFormat/>
    <w:uiPriority w:val="0"/>
    <w:pPr>
      <w:widowControl/>
      <w:spacing w:after="156" w:line="360" w:lineRule="auto"/>
      <w:ind w:firstLine="420"/>
    </w:pPr>
    <w:rPr>
      <w:rFonts w:ascii="Times New Roman" w:hAnsi="Times New Roman" w:cs="Times New Roman"/>
      <w:kern w:val="0"/>
      <w:szCs w:val="21"/>
    </w:rPr>
  </w:style>
  <w:style w:type="character" w:customStyle="1" w:styleId="122">
    <w:name w:val="标准文本 Char"/>
    <w:qFormat/>
    <w:uiPriority w:val="0"/>
    <w:rPr>
      <w:kern w:val="2"/>
      <w:sz w:val="24"/>
    </w:rPr>
  </w:style>
  <w:style w:type="paragraph" w:customStyle="1" w:styleId="123">
    <w:name w:val="列出段落2"/>
    <w:basedOn w:val="1"/>
    <w:qFormat/>
    <w:uiPriority w:val="0"/>
    <w:pPr>
      <w:ind w:firstLine="420" w:firstLineChars="200"/>
    </w:pPr>
    <w:rPr>
      <w:rFonts w:ascii="Calibri" w:hAnsi="Calibri" w:cs="Times New Roman"/>
    </w:rPr>
  </w:style>
  <w:style w:type="paragraph" w:customStyle="1" w:styleId="124">
    <w:name w:val="Char11"/>
    <w:basedOn w:val="1"/>
    <w:qFormat/>
    <w:uiPriority w:val="0"/>
    <w:pPr>
      <w:tabs>
        <w:tab w:val="left" w:pos="360"/>
      </w:tabs>
    </w:pPr>
    <w:rPr>
      <w:rFonts w:ascii="Times New Roman" w:hAnsi="Times New Roman" w:cs="Times New Roman"/>
      <w:szCs w:val="24"/>
    </w:rPr>
  </w:style>
  <w:style w:type="paragraph" w:customStyle="1" w:styleId="125">
    <w:name w:val="样式 标题 3 + 首行缩进:  0.5 字符"/>
    <w:basedOn w:val="4"/>
    <w:qFormat/>
    <w:uiPriority w:val="0"/>
    <w:pPr>
      <w:spacing w:line="360" w:lineRule="auto"/>
    </w:pPr>
    <w:rPr>
      <w:rFonts w:ascii="Times New Roman" w:hAnsi="Times New Roman" w:cs="宋体"/>
      <w:sz w:val="28"/>
      <w:szCs w:val="20"/>
    </w:rPr>
  </w:style>
  <w:style w:type="paragraph" w:customStyle="1" w:styleId="126">
    <w:name w:val="样式 标题 4 + 左侧:  1.5 字符 悬挂缩进: 1.5 字符"/>
    <w:basedOn w:val="5"/>
    <w:qFormat/>
    <w:uiPriority w:val="0"/>
    <w:pPr>
      <w:spacing w:line="360" w:lineRule="auto"/>
    </w:pPr>
    <w:rPr>
      <w:rFonts w:ascii="Times New Roman" w:hAnsi="Times New Roman" w:eastAsia="宋体" w:cs="宋体"/>
      <w:sz w:val="24"/>
      <w:szCs w:val="20"/>
    </w:rPr>
  </w:style>
  <w:style w:type="character" w:customStyle="1" w:styleId="127">
    <w:name w:val="标题 3 Char Char Char Char Char Char Char Char Char Char Char Char Char Char Char Char Char Char Char Char Char Char Char Char Char Char Char Char Char Char Char Char Char Char Char Char Char Char Char Char Char Char Char Char Char Char Char Char Cha Char"/>
    <w:qFormat/>
    <w:uiPriority w:val="0"/>
    <w:rPr>
      <w:rFonts w:eastAsia="宋体"/>
      <w:b/>
      <w:bCs/>
      <w:kern w:val="2"/>
      <w:sz w:val="32"/>
      <w:szCs w:val="32"/>
      <w:lang w:val="en-US" w:eastAsia="zh-CN" w:bidi="ar-SA"/>
    </w:rPr>
  </w:style>
  <w:style w:type="paragraph" w:customStyle="1" w:styleId="128">
    <w:name w:val="注释级别 21"/>
    <w:basedOn w:val="1"/>
    <w:link w:val="129"/>
    <w:unhideWhenUsed/>
    <w:qFormat/>
    <w:uiPriority w:val="99"/>
    <w:pPr>
      <w:keepNext/>
      <w:numPr>
        <w:ilvl w:val="1"/>
        <w:numId w:val="3"/>
      </w:numPr>
      <w:contextualSpacing/>
      <w:outlineLvl w:val="1"/>
    </w:pPr>
    <w:rPr>
      <w:rFonts w:ascii="宋体"/>
    </w:rPr>
  </w:style>
  <w:style w:type="character" w:customStyle="1" w:styleId="129">
    <w:name w:val="注释级别 2字符"/>
    <w:link w:val="128"/>
    <w:qFormat/>
    <w:uiPriority w:val="99"/>
    <w:rPr>
      <w:rFonts w:ascii="宋体" w:eastAsia="宋体"/>
      <w:kern w:val="2"/>
      <w:sz w:val="24"/>
      <w:szCs w:val="22"/>
    </w:rPr>
  </w:style>
  <w:style w:type="paragraph" w:customStyle="1" w:styleId="130">
    <w:name w:val="普通正文"/>
    <w:basedOn w:val="1"/>
    <w:link w:val="131"/>
    <w:qFormat/>
    <w:uiPriority w:val="0"/>
    <w:pPr>
      <w:spacing w:line="440" w:lineRule="exact"/>
      <w:ind w:firstLine="200" w:firstLineChars="200"/>
    </w:pPr>
    <w:rPr>
      <w:rFonts w:ascii="仿宋_GB2312" w:hAnsi="Times New Roman" w:eastAsia="仿宋_GB2312" w:cs="宋体"/>
      <w:szCs w:val="20"/>
    </w:rPr>
  </w:style>
  <w:style w:type="character" w:customStyle="1" w:styleId="131">
    <w:name w:val="普通正文 Char"/>
    <w:link w:val="130"/>
    <w:qFormat/>
    <w:uiPriority w:val="0"/>
    <w:rPr>
      <w:rFonts w:ascii="仿宋_GB2312" w:hAnsi="Times New Roman" w:eastAsia="仿宋_GB2312" w:cs="宋体"/>
      <w:sz w:val="24"/>
      <w:szCs w:val="20"/>
    </w:rPr>
  </w:style>
  <w:style w:type="paragraph" w:customStyle="1" w:styleId="132">
    <w:name w:val="正文 A"/>
    <w:qFormat/>
    <w:uiPriority w:val="0"/>
    <w:pPr>
      <w:widowControl w:val="0"/>
      <w:jc w:val="both"/>
    </w:pPr>
    <w:rPr>
      <w:rFonts w:ascii="Times New Roman" w:hAnsi="Times New Roman" w:eastAsia="ヒラギノ角ゴ Pro W3" w:cs="Times New Roman"/>
      <w:color w:val="000000"/>
      <w:kern w:val="2"/>
      <w:sz w:val="32"/>
      <w:lang w:val="en-US" w:eastAsia="zh-CN" w:bidi="ar-SA"/>
    </w:rPr>
  </w:style>
  <w:style w:type="paragraph" w:customStyle="1" w:styleId="133">
    <w:name w:val="文档正文 Char Char Char Char Char"/>
    <w:qFormat/>
    <w:uiPriority w:val="0"/>
    <w:pPr>
      <w:widowControl w:val="0"/>
      <w:spacing w:line="480" w:lineRule="exact"/>
      <w:ind w:firstLine="567"/>
      <w:jc w:val="both"/>
    </w:pPr>
    <w:rPr>
      <w:rFonts w:ascii="仿宋" w:hAnsi="仿宋" w:eastAsia="ヒラギノ角ゴ Pro W3" w:cs="Times New Roman"/>
      <w:color w:val="000000"/>
      <w:sz w:val="24"/>
      <w:lang w:val="en-US" w:eastAsia="zh-CN" w:bidi="ar-SA"/>
    </w:rPr>
  </w:style>
  <w:style w:type="paragraph" w:customStyle="1" w:styleId="134">
    <w:name w:val="标题 1 + 行距: 1.5 倍行距"/>
    <w:basedOn w:val="1"/>
    <w:qFormat/>
    <w:uiPriority w:val="0"/>
    <w:pPr>
      <w:keepNext/>
      <w:keepLines/>
      <w:numPr>
        <w:ilvl w:val="0"/>
        <w:numId w:val="4"/>
      </w:numPr>
      <w:spacing w:before="340" w:after="330" w:line="360" w:lineRule="auto"/>
      <w:outlineLvl w:val="0"/>
    </w:pPr>
    <w:rPr>
      <w:rFonts w:ascii="Times New Roman" w:hAnsi="Times New Roman" w:cs="Times New Roman"/>
      <w:b/>
      <w:bCs/>
      <w:kern w:val="44"/>
      <w:sz w:val="32"/>
      <w:szCs w:val="44"/>
    </w:rPr>
  </w:style>
  <w:style w:type="paragraph" w:customStyle="1" w:styleId="135">
    <w:name w:val="sun-正文-黑圆点"/>
    <w:basedOn w:val="13"/>
    <w:qFormat/>
    <w:uiPriority w:val="0"/>
    <w:pPr>
      <w:widowControl w:val="0"/>
      <w:numPr>
        <w:ilvl w:val="0"/>
        <w:numId w:val="5"/>
      </w:numPr>
      <w:spacing w:before="120" w:afterLines="0"/>
      <w:ind w:firstLine="0" w:firstLineChars="0"/>
      <w:jc w:val="both"/>
    </w:pPr>
    <w:rPr>
      <w:rFonts w:eastAsia="宋体"/>
      <w:szCs w:val="20"/>
      <w:lang w:val="en-US"/>
    </w:rPr>
  </w:style>
  <w:style w:type="paragraph" w:customStyle="1" w:styleId="136">
    <w:name w:val="居中-图片"/>
    <w:basedOn w:val="1"/>
    <w:qFormat/>
    <w:uiPriority w:val="0"/>
    <w:pPr>
      <w:spacing w:before="260" w:after="260" w:line="413" w:lineRule="auto"/>
      <w:jc w:val="center"/>
    </w:pPr>
    <w:rPr>
      <w:rFonts w:ascii="Times New Roman" w:hAnsi="Times New Roman" w:cs="宋体"/>
      <w:szCs w:val="20"/>
    </w:rPr>
  </w:style>
  <w:style w:type="paragraph" w:customStyle="1" w:styleId="137">
    <w:name w:val="标题 41"/>
    <w:qFormat/>
    <w:uiPriority w:val="0"/>
    <w:pPr>
      <w:widowControl w:val="0"/>
      <w:spacing w:after="156" w:line="360" w:lineRule="auto"/>
      <w:outlineLvl w:val="3"/>
    </w:pPr>
    <w:rPr>
      <w:rFonts w:ascii="宋体" w:hAnsi="宋体" w:eastAsia="ヒラギノ角ゴ Pro W3" w:cs="Times New Roman"/>
      <w:color w:val="000000"/>
      <w:kern w:val="44"/>
      <w:sz w:val="28"/>
      <w:lang w:val="en-US" w:eastAsia="zh-CN" w:bidi="ar-SA"/>
    </w:rPr>
  </w:style>
  <w:style w:type="paragraph" w:customStyle="1" w:styleId="138">
    <w:name w:val="列出项目"/>
    <w:basedOn w:val="1"/>
    <w:qFormat/>
    <w:uiPriority w:val="0"/>
    <w:pPr>
      <w:numPr>
        <w:ilvl w:val="0"/>
        <w:numId w:val="6"/>
      </w:numPr>
      <w:spacing w:line="360" w:lineRule="auto"/>
    </w:pPr>
    <w:rPr>
      <w:rFonts w:ascii="宋体" w:hAnsi="宋体" w:cs="Times New Roman"/>
      <w:b/>
    </w:rPr>
  </w:style>
  <w:style w:type="character" w:customStyle="1" w:styleId="139">
    <w:name w:val="dash6b63_6587__char1"/>
    <w:qFormat/>
    <w:uiPriority w:val="0"/>
    <w:rPr>
      <w:rFonts w:ascii="Times New Roman" w:hAnsi="Times New Roman" w:eastAsia="仿宋_GB2312"/>
      <w:sz w:val="20"/>
      <w:u w:val="none"/>
      <w:lang w:val="en-US" w:eastAsia="zh-CN"/>
    </w:rPr>
  </w:style>
  <w:style w:type="character" w:customStyle="1" w:styleId="140">
    <w:name w:val="段正文 Char2"/>
    <w:link w:val="141"/>
    <w:qFormat/>
    <w:uiPriority w:val="0"/>
    <w:rPr>
      <w:rFonts w:ascii="Arial" w:hAnsi="Arial"/>
      <w:color w:val="000000"/>
    </w:rPr>
  </w:style>
  <w:style w:type="paragraph" w:customStyle="1" w:styleId="141">
    <w:name w:val="段正文"/>
    <w:basedOn w:val="1"/>
    <w:link w:val="140"/>
    <w:qFormat/>
    <w:uiPriority w:val="0"/>
    <w:pPr>
      <w:adjustRightInd w:val="0"/>
      <w:spacing w:line="360" w:lineRule="auto"/>
      <w:ind w:firstLine="538" w:firstLineChars="224"/>
    </w:pPr>
    <w:rPr>
      <w:rFonts w:ascii="Arial" w:hAnsi="Arial"/>
      <w:color w:val="000000"/>
    </w:rPr>
  </w:style>
  <w:style w:type="character" w:customStyle="1" w:styleId="142">
    <w:name w:val="正文（首行缩进两字）"/>
    <w:qFormat/>
    <w:uiPriority w:val="0"/>
    <w:rPr>
      <w:rFonts w:eastAsia="宋体"/>
      <w:kern w:val="2"/>
      <w:sz w:val="21"/>
      <w:szCs w:val="24"/>
      <w:lang w:val="en-US" w:eastAsia="zh-CN" w:bidi="ar-SA"/>
    </w:rPr>
  </w:style>
  <w:style w:type="character" w:customStyle="1" w:styleId="143">
    <w:name w:val="标题 2 Char1"/>
    <w:qFormat/>
    <w:uiPriority w:val="0"/>
    <w:rPr>
      <w:rFonts w:ascii="Arial" w:hAnsi="Arial" w:eastAsia="黑体" w:cs="Times New Roman"/>
      <w:b/>
      <w:bCs/>
      <w:sz w:val="32"/>
      <w:szCs w:val="32"/>
    </w:rPr>
  </w:style>
  <w:style w:type="character" w:customStyle="1" w:styleId="144">
    <w:name w:val="批注文字 Char1"/>
    <w:semiHidden/>
    <w:qFormat/>
    <w:uiPriority w:val="99"/>
    <w:rPr>
      <w:rFonts w:ascii="Times New Roman" w:hAnsi="Times New Roman" w:eastAsia="宋体" w:cs="Times New Roman"/>
      <w:szCs w:val="20"/>
    </w:rPr>
  </w:style>
  <w:style w:type="character" w:customStyle="1" w:styleId="145">
    <w:name w:val="列举 Char"/>
    <w:link w:val="146"/>
    <w:qFormat/>
    <w:uiPriority w:val="0"/>
    <w:rPr>
      <w:rFonts w:ascii="宋体" w:hAnsi="宋体"/>
      <w:sz w:val="24"/>
    </w:rPr>
  </w:style>
  <w:style w:type="paragraph" w:customStyle="1" w:styleId="146">
    <w:name w:val="列举"/>
    <w:basedOn w:val="1"/>
    <w:link w:val="145"/>
    <w:qFormat/>
    <w:uiPriority w:val="0"/>
    <w:pPr>
      <w:widowControl/>
      <w:spacing w:beforeLines="50" w:afterLines="50" w:line="360" w:lineRule="auto"/>
      <w:ind w:left="960" w:hanging="480"/>
      <w:jc w:val="left"/>
    </w:pPr>
    <w:rPr>
      <w:rFonts w:ascii="宋体" w:hAnsi="宋体"/>
    </w:rPr>
  </w:style>
  <w:style w:type="character" w:customStyle="1" w:styleId="147">
    <w:name w:val="正文文本缩进 Char1"/>
    <w:qFormat/>
    <w:uiPriority w:val="0"/>
    <w:rPr>
      <w:kern w:val="2"/>
      <w:sz w:val="32"/>
    </w:rPr>
  </w:style>
  <w:style w:type="character" w:customStyle="1" w:styleId="148">
    <w:name w:val="无间距字符"/>
    <w:link w:val="149"/>
    <w:qFormat/>
    <w:uiPriority w:val="1"/>
  </w:style>
  <w:style w:type="paragraph" w:customStyle="1" w:styleId="149">
    <w:name w:val="无间距1"/>
    <w:link w:val="148"/>
    <w:qFormat/>
    <w:uiPriority w:val="1"/>
    <w:pPr>
      <w:spacing w:before="100"/>
    </w:pPr>
    <w:rPr>
      <w:rFonts w:asciiTheme="minorHAnsi" w:hAnsiTheme="minorHAnsi" w:eastAsiaTheme="minorEastAsia" w:cstheme="minorBidi"/>
      <w:kern w:val="2"/>
      <w:sz w:val="21"/>
      <w:szCs w:val="22"/>
      <w:lang w:val="en-US" w:eastAsia="zh-CN" w:bidi="ar-SA"/>
    </w:rPr>
  </w:style>
  <w:style w:type="character" w:customStyle="1" w:styleId="150">
    <w:name w:val="正文oo Char"/>
    <w:link w:val="151"/>
    <w:qFormat/>
    <w:uiPriority w:val="0"/>
    <w:rPr>
      <w:rFonts w:ascii="宋体" w:hAnsi="宋体" w:cs="宋体"/>
      <w:sz w:val="24"/>
      <w:szCs w:val="24"/>
    </w:rPr>
  </w:style>
  <w:style w:type="paragraph" w:customStyle="1" w:styleId="151">
    <w:name w:val="正文oo"/>
    <w:basedOn w:val="1"/>
    <w:link w:val="150"/>
    <w:qFormat/>
    <w:uiPriority w:val="0"/>
    <w:pPr>
      <w:widowControl/>
      <w:spacing w:before="100" w:beforeAutospacing="1" w:after="100" w:afterAutospacing="1" w:line="360" w:lineRule="auto"/>
      <w:ind w:firstLine="200" w:firstLineChars="200"/>
      <w:jc w:val="left"/>
    </w:pPr>
    <w:rPr>
      <w:rFonts w:ascii="宋体" w:hAnsi="宋体" w:cs="宋体"/>
      <w:szCs w:val="24"/>
    </w:rPr>
  </w:style>
  <w:style w:type="character" w:customStyle="1" w:styleId="152">
    <w:name w:val="GW-标题3 Char Char"/>
    <w:qFormat/>
    <w:uiPriority w:val="0"/>
    <w:rPr>
      <w:rFonts w:ascii="宋体" w:hAnsi="宋体"/>
      <w:b/>
      <w:bCs/>
      <w:kern w:val="2"/>
      <w:sz w:val="32"/>
      <w:szCs w:val="24"/>
    </w:rPr>
  </w:style>
  <w:style w:type="character" w:customStyle="1" w:styleId="153">
    <w:name w:val="自定义正文 Char"/>
    <w:qFormat/>
    <w:uiPriority w:val="0"/>
    <w:rPr>
      <w:rFonts w:ascii="仿宋_GB2312" w:eastAsia="仿宋_GB2312"/>
      <w:kern w:val="2"/>
      <w:sz w:val="24"/>
      <w:szCs w:val="24"/>
    </w:rPr>
  </w:style>
  <w:style w:type="paragraph" w:customStyle="1" w:styleId="154">
    <w:name w:val="样式 标题 6 + 左侧:  2 字符 悬挂缩进: 2.75 字符"/>
    <w:basedOn w:val="7"/>
    <w:qFormat/>
    <w:uiPriority w:val="0"/>
    <w:pPr>
      <w:spacing w:line="360" w:lineRule="auto"/>
    </w:pPr>
    <w:rPr>
      <w:rFonts w:ascii="Times New Roman" w:hAnsi="Times New Roman" w:eastAsia="宋体" w:cs="宋体"/>
      <w:szCs w:val="20"/>
    </w:rPr>
  </w:style>
  <w:style w:type="paragraph" w:customStyle="1" w:styleId="155">
    <w:name w:val="样式 GW-标题2 + 段前: 1 行 段后: 1 行"/>
    <w:basedOn w:val="84"/>
    <w:qFormat/>
    <w:uiPriority w:val="0"/>
    <w:pPr>
      <w:tabs>
        <w:tab w:val="left" w:pos="961"/>
      </w:tabs>
      <w:snapToGrid w:val="0"/>
      <w:spacing w:before="100" w:beforeAutospacing="1" w:after="100" w:afterAutospacing="1"/>
      <w:ind w:left="1221" w:leftChars="100" w:right="100" w:rightChars="100" w:hanging="360"/>
      <w:contextualSpacing w:val="0"/>
    </w:pPr>
    <w:rPr>
      <w:rFonts w:ascii="Times New Roman" w:hAnsi="Times New Roman" w:eastAsia="仿宋_GB2312" w:cs="宋体"/>
      <w:kern w:val="44"/>
      <w:sz w:val="28"/>
      <w:szCs w:val="20"/>
      <w:lang w:eastAsia="zh-CN" w:bidi="ar-SA"/>
    </w:rPr>
  </w:style>
  <w:style w:type="paragraph" w:customStyle="1" w:styleId="156">
    <w:name w:val="多级标题1"/>
    <w:basedOn w:val="2"/>
    <w:qFormat/>
    <w:uiPriority w:val="0"/>
    <w:pPr>
      <w:numPr>
        <w:numId w:val="0"/>
      </w:numPr>
      <w:tabs>
        <w:tab w:val="left" w:pos="360"/>
      </w:tabs>
      <w:ind w:left="360" w:hanging="360" w:hangingChars="200"/>
    </w:pPr>
    <w:rPr>
      <w:rFonts w:ascii="Times New Roman" w:hAnsi="Times New Roman" w:cs="Times New Roman"/>
      <w:sz w:val="32"/>
      <w:szCs w:val="32"/>
    </w:rPr>
  </w:style>
  <w:style w:type="paragraph" w:customStyle="1" w:styleId="157">
    <w:name w:val="二级无"/>
    <w:basedOn w:val="1"/>
    <w:qFormat/>
    <w:uiPriority w:val="0"/>
    <w:pPr>
      <w:widowControl/>
      <w:tabs>
        <w:tab w:val="left" w:pos="420"/>
      </w:tabs>
      <w:jc w:val="left"/>
      <w:outlineLvl w:val="3"/>
    </w:pPr>
    <w:rPr>
      <w:rFonts w:ascii="宋体" w:hAnsi="Calibri" w:cs="黑体"/>
      <w:szCs w:val="21"/>
    </w:rPr>
  </w:style>
  <w:style w:type="paragraph" w:customStyle="1" w:styleId="158">
    <w:name w:val="B_项目符号"/>
    <w:basedOn w:val="1"/>
    <w:qFormat/>
    <w:uiPriority w:val="0"/>
    <w:pPr>
      <w:widowControl/>
      <w:overflowPunct w:val="0"/>
      <w:autoSpaceDE w:val="0"/>
      <w:autoSpaceDN w:val="0"/>
      <w:adjustRightInd w:val="0"/>
      <w:ind w:left="840" w:firstLine="200" w:firstLineChars="200"/>
    </w:pPr>
    <w:rPr>
      <w:rFonts w:ascii="宋体" w:hAnsi="Times New Roman" w:cs="Times New Roman"/>
      <w:kern w:val="0"/>
      <w:szCs w:val="20"/>
    </w:rPr>
  </w:style>
  <w:style w:type="paragraph" w:customStyle="1" w:styleId="159">
    <w:name w:val="正文（首行缩进2字符）四号 Char"/>
    <w:qFormat/>
    <w:uiPriority w:val="0"/>
    <w:pPr>
      <w:spacing w:line="480" w:lineRule="exact"/>
      <w:ind w:firstLine="200" w:firstLineChars="200"/>
    </w:pPr>
    <w:rPr>
      <w:rFonts w:ascii="Times New Roman" w:hAnsi="Times New Roman" w:eastAsia="宋体" w:cs="Times New Roman"/>
      <w:kern w:val="2"/>
      <w:sz w:val="28"/>
      <w:szCs w:val="28"/>
      <w:lang w:val="en-US" w:eastAsia="zh-CN" w:bidi="ar-SA"/>
    </w:rPr>
  </w:style>
  <w:style w:type="character" w:customStyle="1" w:styleId="160">
    <w:name w:val="正文文本缩进 2 Char1"/>
    <w:basedOn w:val="44"/>
    <w:semiHidden/>
    <w:qFormat/>
    <w:uiPriority w:val="99"/>
  </w:style>
  <w:style w:type="paragraph" w:customStyle="1" w:styleId="161">
    <w:name w:val="样式 标题 5 + 左侧:  1.75 字符 悬挂缩进: 2.5 字符"/>
    <w:basedOn w:val="6"/>
    <w:qFormat/>
    <w:uiPriority w:val="0"/>
    <w:pPr>
      <w:spacing w:line="360" w:lineRule="auto"/>
      <w:ind w:left="0" w:firstLine="0"/>
    </w:pPr>
    <w:rPr>
      <w:rFonts w:ascii="Times New Roman" w:hAnsi="Times New Roman" w:cs="宋体"/>
      <w:sz w:val="24"/>
      <w:szCs w:val="20"/>
    </w:rPr>
  </w:style>
  <w:style w:type="paragraph" w:customStyle="1" w:styleId="162">
    <w:name w:val="样式 宋体 四号 加粗 自定义颜(RGB(094166)) 段前: 7.8 磅 行距: 多倍行距 1.25 字行"/>
    <w:basedOn w:val="1"/>
    <w:qFormat/>
    <w:uiPriority w:val="0"/>
    <w:pPr>
      <w:ind w:left="900" w:hanging="420"/>
    </w:pPr>
    <w:rPr>
      <w:rFonts w:ascii="Times New Roman" w:hAnsi="Times New Roman" w:cs="Times New Roman"/>
      <w:szCs w:val="24"/>
    </w:rPr>
  </w:style>
  <w:style w:type="paragraph" w:customStyle="1" w:styleId="163">
    <w:name w:val="样式 标题 2 + 首行缩进:  0.5 字符"/>
    <w:basedOn w:val="3"/>
    <w:qFormat/>
    <w:uiPriority w:val="0"/>
    <w:rPr>
      <w:rFonts w:ascii="Times New Roman" w:hAnsi="Times New Roman" w:eastAsia="宋体" w:cs="宋体"/>
      <w:sz w:val="30"/>
      <w:szCs w:val="20"/>
    </w:rPr>
  </w:style>
  <w:style w:type="paragraph" w:customStyle="1" w:styleId="164">
    <w:name w:val="多级标题3"/>
    <w:basedOn w:val="4"/>
    <w:qFormat/>
    <w:uiPriority w:val="0"/>
    <w:pPr>
      <w:numPr>
        <w:ilvl w:val="0"/>
        <w:numId w:val="0"/>
      </w:numPr>
      <w:tabs>
        <w:tab w:val="left" w:pos="961"/>
        <w:tab w:val="left" w:pos="1861"/>
      </w:tabs>
      <w:ind w:left="961" w:hanging="360"/>
    </w:pPr>
    <w:rPr>
      <w:rFonts w:ascii="Times New Roman" w:hAnsi="Times New Roman" w:cs="Times New Roman"/>
      <w:b w:val="0"/>
      <w:sz w:val="24"/>
    </w:rPr>
  </w:style>
  <w:style w:type="paragraph" w:customStyle="1" w:styleId="165">
    <w:name w:val="纯文本1"/>
    <w:basedOn w:val="1"/>
    <w:qFormat/>
    <w:uiPriority w:val="0"/>
    <w:pPr>
      <w:adjustRightInd w:val="0"/>
      <w:snapToGrid w:val="0"/>
      <w:spacing w:line="360" w:lineRule="auto"/>
    </w:pPr>
    <w:rPr>
      <w:rFonts w:ascii="宋体" w:hAnsi="Courier New" w:cs="Times New Roman"/>
      <w:szCs w:val="24"/>
    </w:rPr>
  </w:style>
  <w:style w:type="paragraph" w:customStyle="1" w:styleId="166">
    <w:name w:val="附图标题"/>
    <w:basedOn w:val="1"/>
    <w:qFormat/>
    <w:uiPriority w:val="0"/>
    <w:pPr>
      <w:tabs>
        <w:tab w:val="left" w:pos="720"/>
      </w:tabs>
      <w:spacing w:afterLines="100"/>
      <w:ind w:hanging="420"/>
      <w:jc w:val="center"/>
    </w:pPr>
    <w:rPr>
      <w:rFonts w:ascii="Arial" w:hAnsi="Arial" w:eastAsia="黑体" w:cs="Times New Roman"/>
      <w:b/>
      <w:sz w:val="18"/>
      <w:szCs w:val="24"/>
    </w:rPr>
  </w:style>
  <w:style w:type="paragraph" w:customStyle="1" w:styleId="167">
    <w:name w:val="图表"/>
    <w:qFormat/>
    <w:uiPriority w:val="0"/>
    <w:pPr>
      <w:spacing w:before="20"/>
      <w:ind w:left="851"/>
      <w:jc w:val="center"/>
    </w:pPr>
    <w:rPr>
      <w:rFonts w:ascii="Times New Roman" w:hAnsi="Times New Roman" w:eastAsia="文鼎细圆简" w:cs="Times New Roman"/>
      <w:lang w:val="en-US" w:eastAsia="zh-CN" w:bidi="ar-SA"/>
    </w:rPr>
  </w:style>
  <w:style w:type="paragraph" w:customStyle="1" w:styleId="168">
    <w:name w:val="样式 标题 1 + 首行缩进:  0.5 字符1"/>
    <w:basedOn w:val="2"/>
    <w:qFormat/>
    <w:uiPriority w:val="0"/>
    <w:pPr>
      <w:keepNext w:val="0"/>
      <w:keepLines w:val="0"/>
      <w:ind w:firstLine="0"/>
    </w:pPr>
    <w:rPr>
      <w:rFonts w:ascii="Times New Roman" w:hAnsi="Times New Roman" w:cs="宋体"/>
      <w:szCs w:val="20"/>
    </w:rPr>
  </w:style>
  <w:style w:type="paragraph" w:customStyle="1" w:styleId="169">
    <w:name w:val="A8操作手册正文"/>
    <w:basedOn w:val="1"/>
    <w:qFormat/>
    <w:uiPriority w:val="0"/>
    <w:pPr>
      <w:spacing w:line="360" w:lineRule="auto"/>
      <w:ind w:firstLine="420" w:firstLineChars="200"/>
    </w:pPr>
    <w:rPr>
      <w:rFonts w:ascii="Verdana" w:hAnsi="Verdana" w:cs="宋体"/>
      <w:szCs w:val="20"/>
    </w:rPr>
  </w:style>
  <w:style w:type="paragraph" w:customStyle="1" w:styleId="170">
    <w:name w:val="TOC 标题1"/>
    <w:basedOn w:val="2"/>
    <w:qFormat/>
    <w:uiPriority w:val="39"/>
    <w:pPr>
      <w:widowControl/>
      <w:spacing w:before="480" w:after="0" w:line="276" w:lineRule="auto"/>
      <w:ind w:firstLine="0"/>
      <w:jc w:val="left"/>
      <w:outlineLvl w:val="9"/>
    </w:pPr>
    <w:rPr>
      <w:rFonts w:ascii="Cambria" w:hAnsi="Cambria" w:cs="Times New Roman"/>
      <w:color w:val="365F91"/>
      <w:kern w:val="0"/>
      <w:sz w:val="28"/>
      <w:szCs w:val="28"/>
    </w:rPr>
  </w:style>
  <w:style w:type="paragraph" w:customStyle="1" w:styleId="171">
    <w:name w:val="表格"/>
    <w:basedOn w:val="1"/>
    <w:qFormat/>
    <w:uiPriority w:val="0"/>
    <w:pPr>
      <w:spacing w:line="400" w:lineRule="exact"/>
    </w:pPr>
    <w:rPr>
      <w:rFonts w:ascii="Times New Roman" w:hAnsi="Times New Roman" w:cs="Times New Roman"/>
      <w:szCs w:val="24"/>
    </w:rPr>
  </w:style>
  <w:style w:type="paragraph" w:customStyle="1" w:styleId="172">
    <w:name w:val="首缩2 1.25行距"/>
    <w:basedOn w:val="1"/>
    <w:qFormat/>
    <w:uiPriority w:val="0"/>
    <w:pPr>
      <w:spacing w:line="300" w:lineRule="auto"/>
      <w:ind w:right="-57" w:rightChars="-27" w:firstLine="600" w:firstLineChars="250"/>
    </w:pPr>
    <w:rPr>
      <w:rFonts w:ascii="宋体" w:hAnsi="宋体" w:cs="宋体"/>
      <w:szCs w:val="24"/>
    </w:rPr>
  </w:style>
  <w:style w:type="paragraph" w:customStyle="1" w:styleId="173">
    <w:name w:val="无间隔1"/>
    <w:qFormat/>
    <w:uiPriority w:val="0"/>
    <w:pPr>
      <w:widowControl w:val="0"/>
      <w:jc w:val="both"/>
    </w:pPr>
    <w:rPr>
      <w:rFonts w:ascii="Calibri" w:hAnsi="Calibri" w:eastAsia="宋体" w:cs="Times New Roman"/>
      <w:kern w:val="2"/>
      <w:sz w:val="21"/>
      <w:szCs w:val="21"/>
      <w:lang w:val="en-US" w:eastAsia="zh-CN" w:bidi="ar-SA"/>
    </w:rPr>
  </w:style>
  <w:style w:type="paragraph" w:customStyle="1" w:styleId="174">
    <w:name w:val="多级标题2"/>
    <w:basedOn w:val="3"/>
    <w:qFormat/>
    <w:uiPriority w:val="0"/>
    <w:pPr>
      <w:numPr>
        <w:ilvl w:val="0"/>
        <w:numId w:val="0"/>
      </w:numPr>
      <w:tabs>
        <w:tab w:val="left" w:pos="961"/>
        <w:tab w:val="left" w:pos="1441"/>
      </w:tabs>
      <w:ind w:left="961" w:hanging="360"/>
    </w:pPr>
    <w:rPr>
      <w:rFonts w:ascii="Cambria" w:hAnsi="Cambria" w:eastAsia="宋体" w:cs="Times New Roman"/>
      <w:sz w:val="30"/>
    </w:rPr>
  </w:style>
  <w:style w:type="paragraph" w:customStyle="1" w:styleId="175">
    <w:name w:val="段落标题"/>
    <w:basedOn w:val="1"/>
    <w:qFormat/>
    <w:uiPriority w:val="0"/>
    <w:pPr>
      <w:spacing w:line="360" w:lineRule="auto"/>
      <w:ind w:left="1440" w:hanging="420"/>
      <w:jc w:val="left"/>
    </w:pPr>
    <w:rPr>
      <w:rFonts w:ascii="宋体" w:hAnsi="宋体" w:cs="Times New Roman"/>
      <w:b/>
    </w:rPr>
  </w:style>
  <w:style w:type="paragraph" w:customStyle="1" w:styleId="176">
    <w:name w:val="Char1"/>
    <w:basedOn w:val="1"/>
    <w:qFormat/>
    <w:uiPriority w:val="0"/>
    <w:rPr>
      <w:rFonts w:ascii="Times New Roman" w:hAnsi="Times New Roman" w:cs="Times New Roman"/>
      <w:szCs w:val="21"/>
    </w:rPr>
  </w:style>
  <w:style w:type="paragraph" w:customStyle="1" w:styleId="177">
    <w:name w:val="多级标题4"/>
    <w:basedOn w:val="5"/>
    <w:qFormat/>
    <w:uiPriority w:val="0"/>
    <w:pPr>
      <w:numPr>
        <w:ilvl w:val="0"/>
        <w:numId w:val="7"/>
      </w:numPr>
    </w:pPr>
    <w:rPr>
      <w:rFonts w:ascii="Cambria" w:hAnsi="Cambria" w:eastAsia="宋体" w:cs="Times New Roman"/>
      <w:b w:val="0"/>
    </w:rPr>
  </w:style>
  <w:style w:type="paragraph" w:customStyle="1" w:styleId="178">
    <w:name w:val="多级标题5"/>
    <w:basedOn w:val="6"/>
    <w:qFormat/>
    <w:uiPriority w:val="0"/>
    <w:pPr>
      <w:numPr>
        <w:ilvl w:val="0"/>
        <w:numId w:val="0"/>
      </w:numPr>
      <w:ind w:left="360" w:hanging="360" w:hangingChars="200"/>
    </w:pPr>
    <w:rPr>
      <w:rFonts w:ascii="Times New Roman" w:hAnsi="Times New Roman" w:cs="Times New Roman"/>
      <w:b w:val="0"/>
      <w:sz w:val="24"/>
    </w:rPr>
  </w:style>
  <w:style w:type="paragraph" w:customStyle="1" w:styleId="179">
    <w:name w:val="-----二级列出"/>
    <w:basedOn w:val="1"/>
    <w:qFormat/>
    <w:uiPriority w:val="0"/>
    <w:pPr>
      <w:widowControl/>
      <w:adjustRightInd w:val="0"/>
      <w:snapToGrid w:val="0"/>
      <w:spacing w:after="160" w:line="360" w:lineRule="auto"/>
      <w:ind w:left="1134"/>
      <w:jc w:val="left"/>
    </w:pPr>
    <w:rPr>
      <w:rFonts w:ascii="华文中宋" w:hAnsi="华文中宋" w:eastAsia="华文中宋" w:cs="Times New Roman"/>
      <w:kern w:val="0"/>
      <w:szCs w:val="20"/>
    </w:rPr>
  </w:style>
  <w:style w:type="paragraph" w:customStyle="1" w:styleId="180">
    <w:name w:val="正文缩进1"/>
    <w:basedOn w:val="1"/>
    <w:qFormat/>
    <w:uiPriority w:val="0"/>
    <w:pPr>
      <w:widowControl/>
      <w:spacing w:beforeLines="50" w:afterLines="50" w:line="360" w:lineRule="auto"/>
      <w:ind w:firstLine="567"/>
      <w:jc w:val="left"/>
    </w:pPr>
    <w:rPr>
      <w:rFonts w:ascii="Times New Roman" w:hAnsi="Times New Roman" w:cs="Times New Roman"/>
      <w:kern w:val="0"/>
      <w:sz w:val="28"/>
      <w:szCs w:val="20"/>
      <w:lang w:bidi="he-IL"/>
    </w:rPr>
  </w:style>
  <w:style w:type="paragraph" w:customStyle="1" w:styleId="181">
    <w:name w:val="样式 标题 5 + 非加粗 左侧:  0 厘米 首行缩进:  0 厘米 段前: 12 磅 段后: 12 磅 左侧: (..."/>
    <w:basedOn w:val="1"/>
    <w:qFormat/>
    <w:uiPriority w:val="0"/>
    <w:pPr>
      <w:numPr>
        <w:ilvl w:val="4"/>
        <w:numId w:val="8"/>
      </w:numPr>
      <w:spacing w:before="120" w:after="120"/>
      <w:ind w:left="420"/>
      <w:jc w:val="left"/>
    </w:pPr>
    <w:rPr>
      <w:rFonts w:ascii="Times New Roman" w:hAnsi="Times New Roman" w:cs="宋体"/>
      <w:b/>
      <w:bCs/>
      <w:szCs w:val="20"/>
    </w:rPr>
  </w:style>
  <w:style w:type="character" w:customStyle="1" w:styleId="182">
    <w:name w:val="123123123 Char Char"/>
    <w:qFormat/>
    <w:uiPriority w:val="0"/>
    <w:rPr>
      <w:rFonts w:ascii="宋体" w:hAnsi="宋体"/>
      <w:sz w:val="24"/>
    </w:rPr>
  </w:style>
  <w:style w:type="character" w:customStyle="1" w:styleId="183">
    <w:name w:val="纯文本字符1"/>
    <w:basedOn w:val="44"/>
    <w:semiHidden/>
    <w:qFormat/>
    <w:uiPriority w:val="99"/>
    <w:rPr>
      <w:rFonts w:ascii="宋体" w:hAnsi="Courier" w:eastAsia="宋体" w:cs="Times New Roman"/>
      <w:sz w:val="24"/>
      <w:szCs w:val="24"/>
    </w:rPr>
  </w:style>
  <w:style w:type="paragraph" w:customStyle="1" w:styleId="184">
    <w:name w:val="列出段落3"/>
    <w:basedOn w:val="1"/>
    <w:qFormat/>
    <w:uiPriority w:val="0"/>
    <w:pPr>
      <w:spacing w:line="360" w:lineRule="auto"/>
      <w:ind w:firstLine="420" w:firstLineChars="200"/>
    </w:pPr>
    <w:rPr>
      <w:rFonts w:ascii="Calibri" w:hAnsi="Calibri" w:cs="Times New Roman"/>
    </w:rPr>
  </w:style>
  <w:style w:type="paragraph" w:customStyle="1" w:styleId="185">
    <w:name w:val="修订版本号1"/>
    <w:semiHidden/>
    <w:qFormat/>
    <w:uiPriority w:val="99"/>
    <w:rPr>
      <w:rFonts w:asciiTheme="minorHAnsi" w:hAnsiTheme="minorHAnsi" w:eastAsiaTheme="minorEastAsia" w:cstheme="minorBidi"/>
      <w:kern w:val="2"/>
      <w:sz w:val="21"/>
      <w:szCs w:val="22"/>
      <w:lang w:val="en-US" w:eastAsia="zh-CN" w:bidi="ar-SA"/>
    </w:rPr>
  </w:style>
  <w:style w:type="paragraph" w:customStyle="1" w:styleId="186">
    <w:name w:val="Char Char Char Char Char Char Char1 Char"/>
    <w:basedOn w:val="1"/>
    <w:qFormat/>
    <w:uiPriority w:val="0"/>
    <w:rPr>
      <w:rFonts w:ascii="Tahoma" w:hAnsi="Tahoma" w:cs="Times New Roman"/>
      <w:szCs w:val="20"/>
    </w:rPr>
  </w:style>
  <w:style w:type="paragraph" w:customStyle="1" w:styleId="187">
    <w:name w:val="xl31"/>
    <w:basedOn w:val="1"/>
    <w:qFormat/>
    <w:uiPriority w:val="0"/>
    <w:pPr>
      <w:widowControl/>
      <w:spacing w:before="100" w:beforeAutospacing="1" w:after="100" w:afterAutospacing="1"/>
      <w:jc w:val="center"/>
    </w:pPr>
    <w:rPr>
      <w:rFonts w:ascii="宋体" w:hAnsi="宋体" w:cs="Times New Roman"/>
      <w:b/>
      <w:bCs/>
      <w:kern w:val="0"/>
      <w:sz w:val="28"/>
      <w:szCs w:val="28"/>
    </w:rPr>
  </w:style>
  <w:style w:type="paragraph" w:customStyle="1" w:styleId="188">
    <w:name w:val="1级项目"/>
    <w:basedOn w:val="41"/>
    <w:qFormat/>
    <w:uiPriority w:val="0"/>
    <w:pPr>
      <w:tabs>
        <w:tab w:val="left" w:pos="885"/>
      </w:tabs>
      <w:spacing w:before="240" w:after="240" w:line="360" w:lineRule="auto"/>
      <w:ind w:left="432" w:firstLine="0" w:firstLineChars="0"/>
    </w:pPr>
    <w:rPr>
      <w:rFonts w:ascii="楷体_GB2312" w:hAnsi="宋体" w:eastAsia="楷体_GB2312" w:cs="Times New Roman"/>
      <w:color w:val="000000"/>
    </w:rPr>
  </w:style>
  <w:style w:type="paragraph" w:customStyle="1" w:styleId="189">
    <w:name w:val="p17"/>
    <w:basedOn w:val="1"/>
    <w:qFormat/>
    <w:uiPriority w:val="99"/>
    <w:pPr>
      <w:widowControl/>
    </w:pPr>
    <w:rPr>
      <w:rFonts w:ascii="Calibri" w:hAnsi="Calibri" w:cs="Times New Roman"/>
      <w:color w:val="000000"/>
      <w:kern w:val="0"/>
      <w:sz w:val="21"/>
      <w:szCs w:val="21"/>
    </w:rPr>
  </w:style>
  <w:style w:type="paragraph" w:customStyle="1" w:styleId="190">
    <w:name w:val="列出段落4"/>
    <w:basedOn w:val="1"/>
    <w:unhideWhenUsed/>
    <w:qFormat/>
    <w:uiPriority w:val="99"/>
    <w:pPr>
      <w:ind w:firstLine="420" w:firstLineChars="200"/>
    </w:pPr>
  </w:style>
  <w:style w:type="paragraph" w:customStyle="1" w:styleId="191">
    <w:name w:val="列出段落5"/>
    <w:basedOn w:val="1"/>
    <w:unhideWhenUsed/>
    <w:qFormat/>
    <w:uiPriority w:val="99"/>
    <w:pPr>
      <w:ind w:firstLine="420" w:firstLineChars="200"/>
    </w:pPr>
  </w:style>
  <w:style w:type="paragraph" w:customStyle="1" w:styleId="192">
    <w:name w:val="列出段落6"/>
    <w:basedOn w:val="1"/>
    <w:unhideWhenUsed/>
    <w:qFormat/>
    <w:uiPriority w:val="99"/>
    <w:pPr>
      <w:ind w:firstLine="420" w:firstLineChars="200"/>
    </w:pPr>
  </w:style>
  <w:style w:type="paragraph" w:customStyle="1" w:styleId="193">
    <w:name w:val="point-2"/>
    <w:basedOn w:val="1"/>
    <w:qFormat/>
    <w:uiPriority w:val="0"/>
    <w:pPr>
      <w:widowControl/>
      <w:numPr>
        <w:ilvl w:val="0"/>
        <w:numId w:val="9"/>
      </w:numPr>
    </w:pPr>
    <w:rPr>
      <w:rFonts w:ascii="Times New Roman" w:hAnsi="Times New Roman" w:eastAsia="仿宋" w:cs="Times New Roman"/>
      <w:kern w:val="0"/>
      <w:szCs w:val="24"/>
      <w:lang w:eastAsia="zh-TW"/>
    </w:rPr>
  </w:style>
  <w:style w:type="paragraph" w:customStyle="1" w:styleId="194">
    <w:name w:val="TOC 标题2"/>
    <w:basedOn w:val="2"/>
    <w:unhideWhenUsed/>
    <w:qFormat/>
    <w:uiPriority w:val="39"/>
    <w:pPr>
      <w:widowControl/>
      <w:numPr>
        <w:numId w:val="0"/>
      </w:numPr>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195">
    <w:name w:val="样式 小四 行距: 1.5 倍行距 首行缩进:  2 字符"/>
    <w:basedOn w:val="1"/>
    <w:qFormat/>
    <w:uiPriority w:val="0"/>
    <w:pPr>
      <w:spacing w:line="360" w:lineRule="auto"/>
      <w:ind w:firstLine="480" w:firstLineChars="200"/>
    </w:pPr>
    <w:rPr>
      <w:rFonts w:ascii="Times New Roman" w:hAnsi="Times New Roman" w:cs="宋体"/>
      <w:szCs w:val="20"/>
    </w:rPr>
  </w:style>
  <w:style w:type="paragraph" w:customStyle="1" w:styleId="196">
    <w:name w:val="Char Char Char Char Char Char"/>
    <w:basedOn w:val="1"/>
    <w:qFormat/>
    <w:uiPriority w:val="0"/>
    <w:pPr>
      <w:widowControl/>
      <w:spacing w:after="160" w:line="240" w:lineRule="exact"/>
      <w:jc w:val="left"/>
    </w:pPr>
    <w:rPr>
      <w:rFonts w:ascii="Verdana" w:hAnsi="Verdana" w:cs="Times New Roman"/>
      <w:kern w:val="0"/>
      <w:sz w:val="20"/>
      <w:szCs w:val="20"/>
      <w:lang w:eastAsia="en-US"/>
    </w:rPr>
  </w:style>
  <w:style w:type="table" w:customStyle="1" w:styleId="197">
    <w:name w:val="网格型1"/>
    <w:basedOn w:val="4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8">
    <w:name w:val="列出段落7"/>
    <w:basedOn w:val="1"/>
    <w:unhideWhenUsed/>
    <w:qFormat/>
    <w:uiPriority w:val="99"/>
    <w:pPr>
      <w:ind w:firstLine="420" w:firstLineChars="200"/>
    </w:pPr>
  </w:style>
  <w:style w:type="character" w:customStyle="1" w:styleId="199">
    <w:name w:val="font51"/>
    <w:basedOn w:val="44"/>
    <w:qFormat/>
    <w:uiPriority w:val="0"/>
    <w:rPr>
      <w:rFonts w:hint="eastAsia" w:ascii="宋体" w:hAnsi="宋体" w:eastAsia="宋体" w:cs="宋体"/>
      <w:b/>
      <w:color w:val="000000"/>
      <w:sz w:val="21"/>
      <w:szCs w:val="21"/>
      <w:u w:val="none"/>
    </w:rPr>
  </w:style>
  <w:style w:type="character" w:customStyle="1" w:styleId="200">
    <w:name w:val="font31"/>
    <w:basedOn w:val="44"/>
    <w:qFormat/>
    <w:uiPriority w:val="0"/>
    <w:rPr>
      <w:rFonts w:hint="eastAsia" w:ascii="宋体" w:hAnsi="宋体" w:eastAsia="宋体" w:cs="宋体"/>
      <w:color w:val="000000"/>
      <w:sz w:val="20"/>
      <w:szCs w:val="20"/>
      <w:u w:val="none"/>
    </w:rPr>
  </w:style>
  <w:style w:type="character" w:customStyle="1" w:styleId="201">
    <w:name w:val="font41"/>
    <w:basedOn w:val="44"/>
    <w:qFormat/>
    <w:uiPriority w:val="0"/>
    <w:rPr>
      <w:rFonts w:hint="default" w:ascii="Times New Roman" w:hAnsi="Times New Roman" w:cs="Times New Roman"/>
      <w:color w:val="000000"/>
      <w:sz w:val="20"/>
      <w:szCs w:val="20"/>
      <w:u w:val="none"/>
    </w:rPr>
  </w:style>
  <w:style w:type="paragraph" w:styleId="202">
    <w:name w:val="List Paragraph"/>
    <w:basedOn w:val="1"/>
    <w:unhideWhenUsed/>
    <w:qFormat/>
    <w:uiPriority w:val="99"/>
    <w:pPr>
      <w:ind w:firstLine="420" w:firstLineChars="200"/>
    </w:pPr>
  </w:style>
  <w:style w:type="character" w:customStyle="1" w:styleId="203">
    <w:name w:val="无 A"/>
    <w:qFormat/>
    <w:uiPriority w:val="0"/>
  </w:style>
  <w:style w:type="character" w:customStyle="1" w:styleId="204">
    <w:name w:val="font81"/>
    <w:basedOn w:val="44"/>
    <w:qFormat/>
    <w:uiPriority w:val="0"/>
    <w:rPr>
      <w:rFonts w:ascii="Arial" w:hAnsi="Arial" w:cs="Arial"/>
      <w:color w:val="000000"/>
      <w:sz w:val="20"/>
      <w:szCs w:val="20"/>
      <w:u w:val="none"/>
    </w:rPr>
  </w:style>
  <w:style w:type="character" w:customStyle="1" w:styleId="205">
    <w:name w:val="font01"/>
    <w:basedOn w:val="44"/>
    <w:qFormat/>
    <w:uiPriority w:val="0"/>
    <w:rPr>
      <w:rFonts w:hint="eastAsia" w:ascii="宋体" w:hAnsi="宋体" w:eastAsia="宋体" w:cs="宋体"/>
      <w:color w:val="000000"/>
      <w:sz w:val="20"/>
      <w:szCs w:val="20"/>
      <w:u w:val="none"/>
    </w:rPr>
  </w:style>
  <w:style w:type="paragraph" w:customStyle="1" w:styleId="206">
    <w:name w:val="文一"/>
    <w:basedOn w:val="1"/>
    <w:qFormat/>
    <w:uiPriority w:val="0"/>
    <w:pPr>
      <w:topLinePunct/>
      <w:adjustRightInd w:val="0"/>
      <w:snapToGrid w:val="0"/>
      <w:spacing w:line="360" w:lineRule="auto"/>
      <w:ind w:firstLine="200" w:firstLineChars="200"/>
    </w:pPr>
    <w:rPr>
      <w:rFonts w:ascii="Times New Roman" w:hAnsi="Times New Roman" w:cs="Times New Roman"/>
      <w:spacing w:val="4"/>
      <w:kern w:val="0"/>
      <w:szCs w:val="24"/>
    </w:rPr>
  </w:style>
  <w:style w:type="paragraph" w:customStyle="1" w:styleId="207">
    <w:name w:val="sbg"/>
    <w:basedOn w:val="1"/>
    <w:qFormat/>
    <w:uiPriority w:val="0"/>
    <w:pPr>
      <w:jc w:val="center"/>
    </w:pPr>
    <w:rPr>
      <w:rFonts w:ascii="宋体" w:hAnsi="宋体" w:cs="宋体"/>
      <w:b/>
      <w:bCs/>
      <w:kern w:val="0"/>
      <w:szCs w:val="18"/>
    </w:rPr>
  </w:style>
  <w:style w:type="character" w:customStyle="1" w:styleId="208">
    <w:name w:val="fontstyle01"/>
    <w:basedOn w:val="44"/>
    <w:qFormat/>
    <w:uiPriority w:val="0"/>
    <w:rPr>
      <w:rFonts w:hint="default" w:ascii="仿宋" w:hAnsi="仿宋"/>
      <w:color w:val="000000"/>
      <w:sz w:val="36"/>
      <w:szCs w:val="36"/>
    </w:rPr>
  </w:style>
  <w:style w:type="paragraph" w:customStyle="1" w:styleId="209">
    <w:name w:val="修订1"/>
    <w:hidden/>
    <w:unhideWhenUsed/>
    <w:qFormat/>
    <w:uiPriority w:val="99"/>
    <w:rPr>
      <w:rFonts w:eastAsia="宋体" w:asciiTheme="minorHAnsi" w:hAnsiTheme="minorHAnsi" w:cstheme="minorBidi"/>
      <w:kern w:val="2"/>
      <w:sz w:val="24"/>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71</Pages>
  <Words>33655</Words>
  <Characters>35247</Characters>
  <Lines>289</Lines>
  <Paragraphs>81</Paragraphs>
  <TotalTime>63</TotalTime>
  <ScaleCrop>false</ScaleCrop>
  <LinksUpToDate>false</LinksUpToDate>
  <CharactersWithSpaces>35443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2018-11-28T12:19:00Z</dcterms:created>
  <dc:creator>微软用户</dc:creator>
  <cp:lastModifiedBy>Smile</cp:lastModifiedBy>
  <cp:lastPrinted>2025-10-20T07:19:00Z</cp:lastPrinted>
  <dcterms:modified xsi:type="dcterms:W3CDTF">2026-03-10T08:59:11Z</dcterms:modified>
  <cp:revision>410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5F78302DD2EB4C5B9758703B822FD7DB</vt:lpwstr>
  </property>
  <property fmtid="{D5CDD505-2E9C-101B-9397-08002B2CF9AE}" pid="4" name="KSOTemplateDocerSaveRecord">
    <vt:lpwstr>eyJoZGlkIjoiOGU3NDc0Mzk1M2NmYmE2ODEzOWIzODU3MDE0YjA1ODgiLCJ1c2VySWQiOiIxMDAzMjQ3NTA2In0=</vt:lpwstr>
  </property>
</Properties>
</file>