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ECFF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210" w:beforeAutospacing="0" w:after="0" w:afterAutospacing="0"/>
        <w:ind w:left="0" w:right="0" w:firstLine="42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方正黑体_GBK" w:hAnsi="方正黑体_GBK" w:eastAsia="方正黑体_GBK" w:cs="方正黑体_GBK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附件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2</w:t>
      </w:r>
    </w:p>
    <w:p w14:paraId="1C43E35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210" w:beforeAutospacing="0" w:after="0" w:afterAutospacing="0"/>
        <w:ind w:left="0" w:right="0" w:firstLine="42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  <w:t> </w:t>
      </w:r>
    </w:p>
    <w:p w14:paraId="655451C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210" w:beforeAutospacing="0" w:after="0" w:afterAutospacing="0"/>
        <w:ind w:left="0" w:right="0" w:firstLine="420"/>
        <w:jc w:val="center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</w:rPr>
        <w:t>中特理论项目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</w:rPr>
        <w:t>申报说明和选题指南</w:t>
      </w:r>
      <w:bookmarkEnd w:id="0"/>
    </w:p>
    <w:p w14:paraId="6F70C73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210" w:beforeAutospacing="0" w:after="0" w:afterAutospacing="0"/>
        <w:ind w:left="0" w:right="0" w:firstLine="42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  <w:t> </w:t>
      </w:r>
    </w:p>
    <w:p w14:paraId="46ED9E0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210" w:beforeAutospacing="0" w:after="0" w:afterAutospacing="0"/>
        <w:ind w:left="0" w:right="0" w:firstLine="42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方正黑体_GBK" w:hAnsi="方正黑体_GBK" w:eastAsia="方正黑体_GBK" w:cs="方正黑体_GBK"/>
          <w:i w:val="0"/>
          <w:iCs w:val="0"/>
          <w:caps w:val="0"/>
          <w:color w:val="000000"/>
          <w:spacing w:val="0"/>
          <w:sz w:val="36"/>
          <w:szCs w:val="36"/>
          <w:shd w:val="clear" w:color="auto" w:fill="FFFFFF"/>
        </w:rPr>
        <w:t>  </w:t>
      </w:r>
      <w:r>
        <w:rPr>
          <w:rFonts w:hint="default" w:ascii="方正黑体_GBK" w:hAnsi="方正黑体_GBK" w:eastAsia="方正黑体_GBK" w:cs="方正黑体_GBK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一、申报说明</w:t>
      </w:r>
    </w:p>
    <w:p w14:paraId="7C44314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210" w:beforeAutospacing="0" w:after="0" w:afterAutospacing="0"/>
        <w:ind w:left="0" w:right="0" w:firstLine="42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5"/>
          <w:rFonts w:hint="default" w:ascii="方正楷体_GBK" w:hAnsi="方正楷体_GBK" w:eastAsia="方正楷体_GBK" w:cs="方正楷体_GBK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（一）选题</w:t>
      </w:r>
    </w:p>
    <w:p w14:paraId="2E8F1DA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210" w:beforeAutospacing="0" w:after="0" w:afterAutospacing="0"/>
        <w:ind w:left="0" w:right="0" w:firstLine="42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1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．申请人原则上须按照选题指南进行申报，可根据选题指南细化申报题目，但不能脱离选题方向。</w:t>
      </w:r>
    </w:p>
    <w:p w14:paraId="0E30E89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210" w:beforeAutospacing="0" w:after="0" w:afterAutospacing="0"/>
        <w:ind w:left="0" w:right="0" w:firstLine="42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2. 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题目表述要符合项目定位，科学严谨、简明规范，避免引起歧义或争议，一般不加副标题。</w:t>
      </w:r>
    </w:p>
    <w:p w14:paraId="09BA65E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210" w:beforeAutospacing="0" w:after="0" w:afterAutospacing="0"/>
        <w:ind w:left="0" w:right="0" w:firstLine="42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5"/>
          <w:rFonts w:hint="default" w:ascii="方正楷体_GBK" w:hAnsi="方正楷体_GBK" w:eastAsia="方正楷体_GBK" w:cs="方正楷体_GBK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（二）项目类别和要求</w:t>
      </w:r>
    </w:p>
    <w:p w14:paraId="5649C2C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210" w:beforeAutospacing="0" w:after="0" w:afterAutospacing="0"/>
        <w:ind w:left="0" w:right="0" w:firstLine="42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全部立项为重点项目。选题指南中，第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1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至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21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项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  <w:t>面向具有副高及以上专业技术职称或县（处）级以上职务或职级人员申报；为培养青年科研团队，第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22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至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31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项仅限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  <w:t>35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  <w:t>周岁以下（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  <w:t>1990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  <w:t>年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  <w:t>8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  <w:t>月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  <w:t>6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  <w:t>日以后出生）、具有中级及以上专业技术职称人员申报。</w:t>
      </w:r>
    </w:p>
    <w:p w14:paraId="3A3D549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210" w:beforeAutospacing="0" w:after="0" w:afterAutospacing="0"/>
        <w:ind w:left="0" w:right="0" w:firstLine="42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5"/>
          <w:rFonts w:hint="default" w:ascii="方正楷体_GBK" w:hAnsi="方正楷体_GBK" w:eastAsia="方正楷体_GBK" w:cs="方正楷体_GBK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（三）预期成果形式</w:t>
      </w:r>
    </w:p>
    <w:p w14:paraId="5DB9603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210" w:beforeAutospacing="0" w:after="0" w:afterAutospacing="0"/>
        <w:ind w:left="0" w:right="0" w:firstLine="42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分为专著、研究报告、理论文章和系列论文等。</w:t>
      </w:r>
    </w:p>
    <w:p w14:paraId="0439C66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210" w:beforeAutospacing="0" w:after="0" w:afterAutospacing="0"/>
        <w:ind w:left="0" w:right="0" w:firstLine="42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5"/>
          <w:rFonts w:hint="default" w:ascii="方正楷体_GBK" w:hAnsi="方正楷体_GBK" w:eastAsia="方正楷体_GBK" w:cs="方正楷体_GBK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（四）研究期限</w:t>
      </w:r>
    </w:p>
    <w:p w14:paraId="3515F8C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210" w:beforeAutospacing="0" w:after="0" w:afterAutospacing="0"/>
        <w:ind w:left="0" w:right="0" w:firstLine="42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项目完成时限原则上为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1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年。</w:t>
      </w:r>
    </w:p>
    <w:p w14:paraId="4906146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210" w:beforeAutospacing="0" w:after="0" w:afterAutospacing="0"/>
        <w:ind w:left="0" w:right="0" w:firstLine="42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方正黑体_GBK" w:hAnsi="方正黑体_GBK" w:eastAsia="方正黑体_GBK" w:cs="方正黑体_GBK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   </w:t>
      </w:r>
      <w:r>
        <w:rPr>
          <w:rFonts w:hint="default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  <w:t> 二、选题指南</w:t>
      </w:r>
    </w:p>
    <w:p w14:paraId="57F3EEC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210" w:beforeAutospacing="0" w:after="0" w:afterAutospacing="0"/>
        <w:ind w:left="0" w:right="0" w:firstLine="42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1.习近平总书记关于中国式现代化的重要论述研究</w:t>
      </w:r>
    </w:p>
    <w:p w14:paraId="1319D66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210" w:beforeAutospacing="0" w:after="0" w:afterAutospacing="0"/>
        <w:ind w:left="0" w:right="0" w:firstLine="42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2.习近平总书记关于中央八项规定的重要论述研究</w:t>
      </w:r>
    </w:p>
    <w:p w14:paraId="4B38EE2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210" w:beforeAutospacing="0" w:after="0" w:afterAutospacing="0"/>
        <w:ind w:left="0" w:right="0" w:firstLine="42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3.习近平总书记关于民营经济发展的重要论述研究</w:t>
      </w:r>
    </w:p>
    <w:p w14:paraId="4E2416F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210" w:beforeAutospacing="0" w:after="0" w:afterAutospacing="0"/>
        <w:ind w:left="0" w:right="0" w:firstLine="42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4.习近平总书记关于人工智能发展的重要论述研究</w:t>
      </w:r>
    </w:p>
    <w:p w14:paraId="55274B4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210" w:beforeAutospacing="0" w:after="0" w:afterAutospacing="0"/>
        <w:ind w:left="0" w:right="0" w:firstLine="42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5.习近平总书记关于超大城市现代化治理的重要论述研究</w:t>
      </w:r>
    </w:p>
    <w:p w14:paraId="66960F9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210" w:beforeAutospacing="0" w:after="0" w:afterAutospacing="0"/>
        <w:ind w:left="0" w:right="0" w:firstLine="42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6.习近平经济思想的理论贡献与世界意义研究</w:t>
      </w:r>
    </w:p>
    <w:p w14:paraId="19431B9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210" w:beforeAutospacing="0" w:after="0" w:afterAutospacing="0"/>
        <w:ind w:left="0" w:right="0" w:firstLine="42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7.实现全体人民共同富裕的现代化的内在逻辑研究</w:t>
      </w:r>
    </w:p>
    <w:p w14:paraId="6ED63D1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210" w:beforeAutospacing="0" w:after="0" w:afterAutospacing="0"/>
        <w:ind w:left="0" w:right="0" w:firstLine="42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8.“十五五”时期重庆经济社会发展面临的机遇与挑战研究</w:t>
      </w:r>
    </w:p>
    <w:p w14:paraId="1BD5F76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210" w:beforeAutospacing="0" w:after="0" w:afterAutospacing="0"/>
        <w:ind w:left="0" w:right="0" w:firstLine="42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9.“十五五”时期重庆经济社会发展的目标任务研究</w:t>
      </w:r>
    </w:p>
    <w:p w14:paraId="080A66A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210" w:beforeAutospacing="0" w:after="0" w:afterAutospacing="0"/>
        <w:ind w:left="0" w:right="0" w:firstLine="42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10.建设西部地区高质量发展先行区的内在要求和实践路径研究</w:t>
      </w:r>
    </w:p>
    <w:p w14:paraId="4C0E2AA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210" w:beforeAutospacing="0" w:after="0" w:afterAutospacing="0"/>
        <w:ind w:left="0" w:right="0" w:firstLine="42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11.重庆完善现代化国资国企治理体系研究</w:t>
      </w:r>
    </w:p>
    <w:p w14:paraId="4EB4776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210" w:beforeAutospacing="0" w:after="0" w:afterAutospacing="0"/>
        <w:ind w:left="0" w:right="0" w:firstLine="42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12.重庆加快推动内外贸一体化研究</w:t>
      </w:r>
    </w:p>
    <w:p w14:paraId="4A2AFEF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210" w:beforeAutospacing="0" w:after="0" w:afterAutospacing="0"/>
        <w:ind w:left="0" w:right="0" w:firstLine="42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13.“大综合一体化”视角下重庆城市综合治理体制机制改革研究</w:t>
      </w:r>
    </w:p>
    <w:p w14:paraId="1CD94EF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210" w:beforeAutospacing="0" w:after="0" w:afterAutospacing="0"/>
        <w:ind w:left="0" w:right="0" w:firstLine="42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14.事前预防型超大城市公共安全治理模式研究</w:t>
      </w:r>
    </w:p>
    <w:p w14:paraId="318E6F9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210" w:beforeAutospacing="0" w:after="0" w:afterAutospacing="0"/>
        <w:ind w:left="0" w:right="0" w:firstLine="42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15.重庆提升数字化城市运行和治理中心实战效能研究</w:t>
      </w:r>
    </w:p>
    <w:p w14:paraId="0F1F9E7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210" w:beforeAutospacing="0" w:after="0" w:afterAutospacing="0"/>
        <w:ind w:left="0" w:right="0" w:firstLine="42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16.大学生总体国家安全观教育研究</w:t>
      </w:r>
    </w:p>
    <w:p w14:paraId="4F57F29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210" w:beforeAutospacing="0" w:after="0" w:afterAutospacing="0"/>
        <w:ind w:left="0" w:right="0" w:firstLine="42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17.成渝地区双城经济圈与国家战略腹地建设研究</w:t>
      </w:r>
    </w:p>
    <w:p w14:paraId="356CA74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210" w:beforeAutospacing="0" w:after="0" w:afterAutospacing="0"/>
        <w:ind w:left="0" w:right="0" w:firstLine="42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18.成渝地区构建区域融合发展新路径研究</w:t>
      </w:r>
    </w:p>
    <w:p w14:paraId="19BF41C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210" w:beforeAutospacing="0" w:after="0" w:afterAutospacing="0"/>
        <w:ind w:left="0" w:right="0" w:firstLine="42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19.加快构建西部陆海新通道集疏运体系研究</w:t>
      </w:r>
    </w:p>
    <w:p w14:paraId="01EF550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210" w:beforeAutospacing="0" w:after="0" w:afterAutospacing="0"/>
        <w:ind w:left="0" w:right="0" w:firstLine="42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20.特定自然地理环境下重庆地方性文化生成研究</w:t>
      </w:r>
    </w:p>
    <w:p w14:paraId="50A1BB3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210" w:beforeAutospacing="0" w:after="0" w:afterAutospacing="0"/>
        <w:ind w:left="0" w:right="0" w:firstLine="42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21.全媒体视域下重庆报业监管研究</w:t>
      </w:r>
    </w:p>
    <w:p w14:paraId="3E9CBD3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210" w:beforeAutospacing="0" w:after="0" w:afterAutospacing="0"/>
        <w:ind w:left="0" w:right="0" w:firstLine="42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22.中国共产党斗争精神的时代意蕴研究</w:t>
      </w:r>
    </w:p>
    <w:p w14:paraId="62D98F7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210" w:beforeAutospacing="0" w:after="0" w:afterAutospacing="0"/>
        <w:ind w:left="0" w:right="0" w:firstLine="42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23.中国共产党历史自信的生成逻辑研究</w:t>
      </w:r>
    </w:p>
    <w:p w14:paraId="178E607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210" w:beforeAutospacing="0" w:after="0" w:afterAutospacing="0"/>
        <w:ind w:left="0" w:right="0" w:firstLine="42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24.中国共产党自我革命的理论渊源研究</w:t>
      </w:r>
    </w:p>
    <w:p w14:paraId="610BD31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210" w:beforeAutospacing="0" w:after="0" w:afterAutospacing="0"/>
        <w:ind w:left="0" w:right="0" w:firstLine="42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25.“狱中八条”的内涵与实践转化研究</w:t>
      </w:r>
    </w:p>
    <w:p w14:paraId="04E1A7C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210" w:beforeAutospacing="0" w:after="0" w:afterAutospacing="0"/>
        <w:ind w:left="0" w:right="0" w:firstLine="42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26.超大城市全周期全要素治理研究</w:t>
      </w:r>
    </w:p>
    <w:p w14:paraId="1B20933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210" w:beforeAutospacing="0" w:after="0" w:afterAutospacing="0"/>
        <w:ind w:left="0" w:right="0" w:firstLine="42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27.重庆加快新型能源算力枢纽建设研究</w:t>
      </w:r>
    </w:p>
    <w:p w14:paraId="742B30E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210" w:beforeAutospacing="0" w:after="0" w:afterAutospacing="0"/>
        <w:ind w:left="0" w:right="0" w:firstLine="42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28.重庆提升现代制造业集群体系能级研究</w:t>
      </w:r>
    </w:p>
    <w:p w14:paraId="5A20A32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210" w:beforeAutospacing="0" w:after="0" w:afterAutospacing="0"/>
        <w:ind w:left="0" w:right="0" w:firstLine="42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29.党建引领背景下重庆职业教育高质量发展研究</w:t>
      </w:r>
    </w:p>
    <w:p w14:paraId="6739652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210" w:beforeAutospacing="0" w:after="0" w:afterAutospacing="0"/>
        <w:ind w:left="0" w:right="0" w:firstLine="42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30.重庆抗战文化遗产保护传承和活化利用研究</w:t>
      </w:r>
    </w:p>
    <w:p w14:paraId="22A2A96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210" w:beforeAutospacing="0" w:after="0" w:afterAutospacing="0"/>
        <w:ind w:left="0" w:right="0" w:firstLine="42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31.重庆推进党的创新理论融合化传播研究</w:t>
      </w:r>
    </w:p>
    <w:p w14:paraId="60E6D00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4E441A2-3BEF-4038-AD31-B486B4006C9B}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2" w:fontKey="{0780DD97-912B-4788-92F7-850CD604F4CA}"/>
  </w:font>
  <w:font w:name="方正黑体_GBK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3" w:fontKey="{CA805F9E-6514-4202-B752-108C18313530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4" w:fontKey="{68C725A5-0428-49E6-A480-C53021BC931D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AA00F868-6F94-483F-98DF-63F7C198314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DC61C7"/>
    <w:rsid w:val="1FDC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2025-08-14T02:52:00Z</dcterms:created>
  <dc:creator>lii</dc:creator>
  <cp:lastModifiedBy>lii</cp:lastModifiedBy>
  <dcterms:modified xsi:type="dcterms:W3CDTF">2025-08-14T02:52:31Z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692DE3A9A46248359A059073B12FF6F9_11</vt:lpwstr>
  </property>
  <property fmtid="{D5CDD505-2E9C-101B-9397-08002B2CF9AE}" pid="4" name="KSOTemplateDocerSaveRecord">
    <vt:lpwstr>eyJoZGlkIjoiMjViMTYzZTA0MmExODA4M2VlNWJiNTk1NDIzNDZlYWUiLCJ1c2VySWQiOiI1OTQxMDM5MjkifQ==</vt:lpwstr>
  </property>
</Properties>
</file>