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AAE85">
      <w:pPr>
        <w:pStyle w:val="2"/>
        <w:numPr>
          <w:ilvl w:val="0"/>
          <w:numId w:val="0"/>
        </w:numPr>
        <w:spacing w:before="0" w:after="0" w:line="600" w:lineRule="exact"/>
        <w:ind w:firstLine="883" w:firstLineChars="200"/>
        <w:jc w:val="center"/>
        <w:rPr>
          <w:rFonts w:hint="default" w:ascii="Times New Roman" w:hAnsi="Times New Roman" w:eastAsia="方正小标宋_GBK" w:cs="Times New Roman"/>
        </w:rPr>
      </w:pPr>
      <w:r>
        <w:rPr>
          <w:rFonts w:hint="default" w:ascii="Times New Roman" w:hAnsi="Times New Roman" w:eastAsia="方正小标宋_GBK" w:cs="Times New Roman"/>
        </w:rPr>
        <w:t>招标数量及参数要求</w:t>
      </w:r>
    </w:p>
    <w:p w14:paraId="6F9BA32F">
      <w:pPr>
        <w:widowControl/>
        <w:spacing w:line="600" w:lineRule="exact"/>
        <w:ind w:firstLine="562" w:firstLineChars="200"/>
        <w:jc w:val="left"/>
        <w:rPr>
          <w:rFonts w:hint="default" w:ascii="Times New Roman" w:hAnsi="Times New Roman" w:eastAsia="方正小标宋_GBK" w:cs="Times New Roman"/>
          <w:b/>
          <w:bCs/>
          <w:sz w:val="28"/>
          <w:szCs w:val="28"/>
        </w:rPr>
      </w:pPr>
    </w:p>
    <w:p w14:paraId="2B2A7D4A">
      <w:pPr>
        <w:spacing w:line="600" w:lineRule="exact"/>
        <w:jc w:val="left"/>
        <w:rPr>
          <w:rFonts w:ascii="Times New Roman" w:hAnsi="Times New Roman" w:eastAsia="方正黑体_GBK" w:cs="Times New Roman"/>
          <w:b/>
          <w:sz w:val="32"/>
          <w:szCs w:val="32"/>
        </w:rPr>
      </w:pPr>
      <w:r>
        <w:rPr>
          <w:rFonts w:ascii="Times New Roman" w:hAnsi="Times New Roman" w:eastAsia="方正黑体_GBK" w:cs="Times New Roman"/>
          <w:b/>
          <w:sz w:val="32"/>
          <w:szCs w:val="32"/>
        </w:rPr>
        <w:t>一、</w:t>
      </w:r>
      <w:r>
        <w:rPr>
          <w:rFonts w:hint="eastAsia" w:ascii="Times New Roman" w:hAnsi="Times New Roman" w:eastAsia="方正黑体_GBK" w:cs="Times New Roman"/>
          <w:b/>
          <w:sz w:val="32"/>
          <w:szCs w:val="32"/>
        </w:rPr>
        <w:t>项目名称及数量</w:t>
      </w:r>
    </w:p>
    <w:tbl>
      <w:tblPr>
        <w:tblStyle w:val="5"/>
        <w:tblW w:w="90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2660"/>
        <w:gridCol w:w="1200"/>
        <w:gridCol w:w="1215"/>
        <w:gridCol w:w="2170"/>
      </w:tblGrid>
      <w:tr w14:paraId="5E63D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70" w:type="dxa"/>
            <w:vAlign w:val="center"/>
          </w:tcPr>
          <w:p w14:paraId="0EB2542C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660" w:type="dxa"/>
            <w:vAlign w:val="center"/>
          </w:tcPr>
          <w:p w14:paraId="1501A1EE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200" w:type="dxa"/>
            <w:vAlign w:val="center"/>
          </w:tcPr>
          <w:p w14:paraId="2ED7D85B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215" w:type="dxa"/>
            <w:vAlign w:val="center"/>
          </w:tcPr>
          <w:p w14:paraId="66A36FE4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2170" w:type="dxa"/>
            <w:vAlign w:val="center"/>
          </w:tcPr>
          <w:p w14:paraId="54BC8640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综合描述</w:t>
            </w:r>
          </w:p>
        </w:tc>
      </w:tr>
      <w:tr w14:paraId="139E6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exact"/>
          <w:jc w:val="center"/>
        </w:trPr>
        <w:tc>
          <w:tcPr>
            <w:tcW w:w="1770" w:type="dxa"/>
            <w:vAlign w:val="center"/>
          </w:tcPr>
          <w:p w14:paraId="799C5AA8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60" w:type="dxa"/>
            <w:vAlign w:val="center"/>
          </w:tcPr>
          <w:p w14:paraId="303EA9A0">
            <w:pPr>
              <w:widowControl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学生一体机（配置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00" w:type="dxa"/>
            <w:vAlign w:val="center"/>
          </w:tcPr>
          <w:p w14:paraId="03E5DAF7">
            <w:pPr>
              <w:widowControl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</w:t>
            </w:r>
          </w:p>
        </w:tc>
        <w:tc>
          <w:tcPr>
            <w:tcW w:w="1215" w:type="dxa"/>
            <w:vAlign w:val="center"/>
          </w:tcPr>
          <w:p w14:paraId="6FE96702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2170" w:type="dxa"/>
            <w:vAlign w:val="center"/>
          </w:tcPr>
          <w:p w14:paraId="40316E5F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附后</w:t>
            </w:r>
          </w:p>
        </w:tc>
      </w:tr>
      <w:tr w14:paraId="5F7E8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exact"/>
          <w:jc w:val="center"/>
        </w:trPr>
        <w:tc>
          <w:tcPr>
            <w:tcW w:w="1770" w:type="dxa"/>
            <w:vAlign w:val="center"/>
          </w:tcPr>
          <w:p w14:paraId="4EB4C1DF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660" w:type="dxa"/>
            <w:vAlign w:val="center"/>
          </w:tcPr>
          <w:p w14:paraId="13B1A939">
            <w:pPr>
              <w:widowControl/>
              <w:spacing w:line="520" w:lineRule="exact"/>
              <w:jc w:val="center"/>
              <w:textAlignment w:val="center"/>
              <w:rPr>
                <w:rFonts w:hint="default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学生一体机（配置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200" w:type="dxa"/>
            <w:vAlign w:val="center"/>
          </w:tcPr>
          <w:p w14:paraId="4056A87B">
            <w:pPr>
              <w:widowControl/>
              <w:spacing w:line="520" w:lineRule="exact"/>
              <w:jc w:val="center"/>
              <w:textAlignment w:val="center"/>
              <w:rPr>
                <w:rFonts w:hint="default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1215" w:type="dxa"/>
            <w:vAlign w:val="center"/>
          </w:tcPr>
          <w:p w14:paraId="6CF6F40D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2170" w:type="dxa"/>
            <w:vAlign w:val="center"/>
          </w:tcPr>
          <w:p w14:paraId="0AC372D9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附后</w:t>
            </w:r>
          </w:p>
        </w:tc>
      </w:tr>
      <w:tr w14:paraId="22CE0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exact"/>
          <w:jc w:val="center"/>
        </w:trPr>
        <w:tc>
          <w:tcPr>
            <w:tcW w:w="1770" w:type="dxa"/>
            <w:vAlign w:val="center"/>
          </w:tcPr>
          <w:p w14:paraId="4687FADC">
            <w:pPr>
              <w:widowControl/>
              <w:spacing w:line="520" w:lineRule="exact"/>
              <w:jc w:val="center"/>
              <w:textAlignment w:val="center"/>
              <w:rPr>
                <w:rFonts w:hint="default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660" w:type="dxa"/>
            <w:vAlign w:val="center"/>
          </w:tcPr>
          <w:p w14:paraId="5DF78982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一体机搬迁</w:t>
            </w:r>
          </w:p>
        </w:tc>
        <w:tc>
          <w:tcPr>
            <w:tcW w:w="1200" w:type="dxa"/>
            <w:vAlign w:val="center"/>
          </w:tcPr>
          <w:p w14:paraId="44B08F43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1215" w:type="dxa"/>
            <w:vAlign w:val="center"/>
          </w:tcPr>
          <w:p w14:paraId="5BA41FB7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2170" w:type="dxa"/>
            <w:vAlign w:val="center"/>
          </w:tcPr>
          <w:p w14:paraId="007B0748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附后</w:t>
            </w:r>
          </w:p>
        </w:tc>
      </w:tr>
    </w:tbl>
    <w:tbl>
      <w:tblPr>
        <w:tblStyle w:val="4"/>
        <w:tblW w:w="90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2268"/>
        <w:gridCol w:w="850"/>
        <w:gridCol w:w="851"/>
        <w:gridCol w:w="4394"/>
      </w:tblGrid>
      <w:tr w14:paraId="679FA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28557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E1C28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024E1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B97E4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2C291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91BA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954051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3DBC6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学生一体机（配置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57F64">
            <w:pPr>
              <w:widowControl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B62E7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3A5B2B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技术参数见技术部分</w:t>
            </w:r>
          </w:p>
        </w:tc>
      </w:tr>
      <w:tr w14:paraId="3B32D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C3D6C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62782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一体机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（配置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F08B6">
            <w:pPr>
              <w:widowControl/>
              <w:spacing w:line="52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F2C8B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5142F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技术参数见技术部分</w:t>
            </w:r>
          </w:p>
        </w:tc>
      </w:tr>
      <w:tr w14:paraId="30053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CE672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2EB24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一体机搬迁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99576">
            <w:pPr>
              <w:widowControl/>
              <w:spacing w:line="520" w:lineRule="exact"/>
              <w:jc w:val="center"/>
              <w:textAlignment w:val="center"/>
              <w:rPr>
                <w:rFonts w:hint="default" w:ascii="宋体" w:hAnsi="宋体" w:cs="宋体"/>
                <w:color w:val="000000" w:themeColor="text1"/>
                <w:kern w:val="0"/>
                <w:sz w:val="21"/>
                <w:szCs w:val="21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E7476">
            <w:pPr>
              <w:widowControl/>
              <w:spacing w:line="52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498D0CA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具体要求见技术部分</w:t>
            </w:r>
          </w:p>
        </w:tc>
      </w:tr>
      <w:tr w14:paraId="7D716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BDA7E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91F71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人工及辅材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04E2A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6D63C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批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A6FF7F5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安转、布线及调试等等</w:t>
            </w:r>
          </w:p>
        </w:tc>
      </w:tr>
      <w:tr w14:paraId="18805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EDCF62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FD32D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597AA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D5022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4D5AF">
            <w:pPr>
              <w:widowControl/>
              <w:spacing w:line="520" w:lineRule="exact"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7620632">
      <w:pPr>
        <w:spacing w:line="400" w:lineRule="exact"/>
        <w:rPr>
          <w:rFonts w:hint="eastAsia" w:ascii="Times New Roman" w:hAnsi="Times New Roman" w:eastAsia="方正黑体_GBK" w:cs="Times New Roman"/>
          <w:b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1"/>
          <w:szCs w:val="21"/>
        </w:rPr>
        <w:t>说明</w:t>
      </w:r>
      <w:r>
        <w:rPr>
          <w:rFonts w:hint="eastAsia" w:ascii="宋体" w:hAnsi="宋体" w:cs="宋体"/>
          <w:color w:val="auto"/>
          <w:sz w:val="21"/>
          <w:szCs w:val="21"/>
        </w:rPr>
        <w:t>：</w:t>
      </w:r>
      <w:r>
        <w:rPr>
          <w:rStyle w:val="7"/>
          <w:rFonts w:hint="eastAsia" w:ascii="宋体" w:hAnsi="宋体" w:cs="宋体"/>
          <w:color w:val="auto"/>
          <w:sz w:val="21"/>
          <w:szCs w:val="21"/>
        </w:rPr>
        <w:t>如果投标人的投标报价中有漏项，则该投标人的投标价格评分时需加上漏项部分，漏项部分的价格按所有投标人中相应部分所报的最高价格计算；如果该投标人中标，则其中标价不能调整，即漏项部分的价格需该投标人自行消化（如构成实质性响应招标文件要求的，将不得中标）。</w:t>
      </w:r>
    </w:p>
    <w:p w14:paraId="0032E291">
      <w:pPr>
        <w:widowControl/>
        <w:spacing w:line="520" w:lineRule="exact"/>
        <w:jc w:val="left"/>
        <w:rPr>
          <w:rFonts w:hint="eastAsia" w:ascii="Times New Roman" w:hAnsi="Times New Roman" w:eastAsia="方正黑体_GBK" w:cs="Times New Roman"/>
          <w:b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b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黑体_GBK" w:cs="Times New Roman"/>
          <w:b/>
          <w:sz w:val="32"/>
          <w:szCs w:val="32"/>
        </w:rPr>
        <w:t>、技术要求</w:t>
      </w:r>
    </w:p>
    <w:tbl>
      <w:tblPr>
        <w:tblStyle w:val="5"/>
        <w:tblW w:w="93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4688"/>
        <w:gridCol w:w="825"/>
        <w:gridCol w:w="945"/>
        <w:gridCol w:w="1230"/>
      </w:tblGrid>
      <w:tr w14:paraId="43E5A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4FD4F104">
            <w:pPr>
              <w:widowControl/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设备名称</w:t>
            </w:r>
          </w:p>
        </w:tc>
        <w:tc>
          <w:tcPr>
            <w:tcW w:w="4688" w:type="dxa"/>
            <w:vAlign w:val="center"/>
          </w:tcPr>
          <w:p w14:paraId="06BBB3CB">
            <w:pPr>
              <w:widowControl/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技术参数</w:t>
            </w:r>
          </w:p>
        </w:tc>
        <w:tc>
          <w:tcPr>
            <w:tcW w:w="825" w:type="dxa"/>
            <w:vAlign w:val="center"/>
          </w:tcPr>
          <w:p w14:paraId="7C81D69A">
            <w:pPr>
              <w:widowControl/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945" w:type="dxa"/>
            <w:vAlign w:val="center"/>
          </w:tcPr>
          <w:p w14:paraId="68BAB49C">
            <w:pPr>
              <w:widowControl/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1230" w:type="dxa"/>
            <w:vAlign w:val="center"/>
          </w:tcPr>
          <w:p w14:paraId="7AC265BC">
            <w:pPr>
              <w:widowControl/>
              <w:spacing w:line="38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推荐品牌</w:t>
            </w:r>
          </w:p>
        </w:tc>
      </w:tr>
      <w:tr w14:paraId="1D27C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65215290">
            <w:pPr>
              <w:widowControl/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学生一体机（配置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688" w:type="dxa"/>
            <w:vAlign w:val="center"/>
          </w:tcPr>
          <w:p w14:paraId="2ABC71AF">
            <w:pPr>
              <w:widowControl/>
              <w:spacing w:line="380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1、CPU：≥Intel 酷睿I5-14代</w:t>
            </w:r>
          </w:p>
          <w:p w14:paraId="04A096F4">
            <w:pPr>
              <w:widowControl/>
              <w:spacing w:line="380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2、内存：≥16G DDR4 3200MHz, 2根SO-DIMM插槽，最大支持≥64G</w:t>
            </w:r>
          </w:p>
          <w:p w14:paraId="3A43241F">
            <w:pPr>
              <w:widowControl/>
              <w:spacing w:line="380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3、硬盘：固态硬盘（PCIe接口）≥500G</w:t>
            </w:r>
          </w:p>
          <w:p w14:paraId="129EEEB9">
            <w:pPr>
              <w:widowControl/>
              <w:spacing w:line="380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4、显卡：≥GPU Name‡ Intel® UHD Graphics 730</w:t>
            </w:r>
          </w:p>
          <w:p w14:paraId="437F292B">
            <w:pPr>
              <w:widowControl/>
              <w:spacing w:line="380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5、显示屏：2</w:t>
            </w:r>
            <w:r>
              <w:rPr>
                <w:rFonts w:hint="eastAsia"/>
                <w:lang w:val="en-US" w:eastAsia="zh-CN"/>
              </w:rPr>
              <w:t>3.8</w:t>
            </w:r>
            <w:r>
              <w:rPr>
                <w:rFonts w:hint="eastAsia"/>
                <w:lang w:eastAsia="zh-CN"/>
              </w:rPr>
              <w:t>英寸左右</w:t>
            </w:r>
          </w:p>
          <w:p w14:paraId="16ACE804">
            <w:pPr>
              <w:widowControl/>
              <w:spacing w:line="380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6、配置硬盘保护系统</w:t>
            </w:r>
          </w:p>
          <w:p w14:paraId="31F7DE2C">
            <w:pPr>
              <w:widowControl/>
              <w:spacing w:line="380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7、支持网络唤醒、亮度调节、具备隐藏式摄像头</w:t>
            </w:r>
          </w:p>
          <w:p w14:paraId="36805990">
            <w:pPr>
              <w:widowControl/>
              <w:spacing w:line="380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8、网络接口： Intel千兆网卡</w:t>
            </w:r>
          </w:p>
          <w:p w14:paraId="7B4CBD8C">
            <w:pPr>
              <w:widowControl/>
              <w:spacing w:line="380" w:lineRule="exact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9、认证：3C、节能、环保</w:t>
            </w:r>
          </w:p>
        </w:tc>
        <w:tc>
          <w:tcPr>
            <w:tcW w:w="825" w:type="dxa"/>
            <w:vAlign w:val="center"/>
          </w:tcPr>
          <w:p w14:paraId="2182E8CD">
            <w:pPr>
              <w:widowControl/>
              <w:spacing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</w:t>
            </w:r>
          </w:p>
        </w:tc>
        <w:tc>
          <w:tcPr>
            <w:tcW w:w="945" w:type="dxa"/>
            <w:vAlign w:val="center"/>
          </w:tcPr>
          <w:p w14:paraId="2134892F">
            <w:pPr>
              <w:widowControl/>
              <w:spacing w:line="38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台</w:t>
            </w:r>
          </w:p>
        </w:tc>
        <w:tc>
          <w:tcPr>
            <w:tcW w:w="1230" w:type="dxa"/>
            <w:vAlign w:val="center"/>
          </w:tcPr>
          <w:p w14:paraId="319C45D0">
            <w:pPr>
              <w:widowControl/>
              <w:spacing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AOC、戴尔、华硕、方正、联想、惠普等</w:t>
            </w:r>
          </w:p>
        </w:tc>
      </w:tr>
      <w:tr w14:paraId="31A09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16003060">
            <w:pPr>
              <w:widowControl/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学生一体机（配置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4688" w:type="dxa"/>
            <w:vAlign w:val="center"/>
          </w:tcPr>
          <w:p w14:paraId="58586CEA">
            <w:pPr>
              <w:widowControl/>
              <w:spacing w:line="38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1、CPU：≥Intel 酷睿I5-14代</w:t>
            </w:r>
          </w:p>
          <w:p w14:paraId="0F6FC70F">
            <w:pPr>
              <w:widowControl/>
              <w:spacing w:line="38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2、内存：≥16G DDR4 3200MHz, 2根SO-DIMM插槽，最大支持≥64G</w:t>
            </w:r>
          </w:p>
          <w:p w14:paraId="017122AC">
            <w:pPr>
              <w:widowControl/>
              <w:spacing w:line="38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3、硬盘：固态硬盘（PCIe接口）≥500G</w:t>
            </w:r>
          </w:p>
          <w:p w14:paraId="234DADCF">
            <w:pPr>
              <w:widowControl/>
              <w:spacing w:line="38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4、显卡：≥</w:t>
            </w:r>
            <w:r>
              <w:rPr>
                <w:rFonts w:hint="eastAsia"/>
                <w:lang w:val="en-US" w:eastAsia="zh-CN"/>
              </w:rPr>
              <w:t>RTX4060独</w:t>
            </w:r>
            <w:r>
              <w:rPr>
                <w:rFonts w:hint="eastAsia"/>
              </w:rPr>
              <w:t>显，支持HDMI，DP接口</w:t>
            </w:r>
          </w:p>
          <w:p w14:paraId="46C32D3F">
            <w:pPr>
              <w:widowControl/>
              <w:spacing w:line="38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5、显示屏：2</w:t>
            </w:r>
            <w:r>
              <w:rPr>
                <w:rFonts w:hint="eastAsia"/>
                <w:lang w:val="en-US" w:eastAsia="zh-CN"/>
              </w:rPr>
              <w:t>3.8</w:t>
            </w:r>
            <w:r>
              <w:rPr>
                <w:rFonts w:hint="eastAsia"/>
              </w:rPr>
              <w:t>英寸</w:t>
            </w:r>
            <w:r>
              <w:rPr>
                <w:rFonts w:hint="eastAsia"/>
                <w:lang w:eastAsia="zh-CN"/>
              </w:rPr>
              <w:t>左右</w:t>
            </w:r>
          </w:p>
          <w:p w14:paraId="76795420">
            <w:pPr>
              <w:widowControl/>
              <w:spacing w:line="38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6、配置硬盘保护系统</w:t>
            </w:r>
          </w:p>
          <w:p w14:paraId="046637BA">
            <w:pPr>
              <w:widowControl/>
              <w:spacing w:line="380" w:lineRule="exact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7、支持网络唤醒、亮度调节</w:t>
            </w:r>
            <w:r>
              <w:rPr>
                <w:rFonts w:hint="eastAsia"/>
                <w:lang w:eastAsia="zh-CN"/>
              </w:rPr>
              <w:t>；</w:t>
            </w:r>
          </w:p>
          <w:p w14:paraId="110E9925">
            <w:pPr>
              <w:widowControl/>
              <w:spacing w:line="38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8、网络接口： Intel千兆网卡</w:t>
            </w:r>
          </w:p>
          <w:p w14:paraId="0C137BB5">
            <w:pPr>
              <w:widowControl/>
              <w:spacing w:line="38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9、认证：3C、节能、环保</w:t>
            </w:r>
          </w:p>
        </w:tc>
        <w:tc>
          <w:tcPr>
            <w:tcW w:w="825" w:type="dxa"/>
            <w:vAlign w:val="center"/>
          </w:tcPr>
          <w:p w14:paraId="6579751A">
            <w:pPr>
              <w:widowControl/>
              <w:spacing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101</w:t>
            </w:r>
          </w:p>
        </w:tc>
        <w:tc>
          <w:tcPr>
            <w:tcW w:w="945" w:type="dxa"/>
            <w:vAlign w:val="center"/>
          </w:tcPr>
          <w:p w14:paraId="6235646D">
            <w:pPr>
              <w:widowControl/>
              <w:spacing w:line="38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台</w:t>
            </w:r>
          </w:p>
        </w:tc>
        <w:tc>
          <w:tcPr>
            <w:tcW w:w="1230" w:type="dxa"/>
            <w:vAlign w:val="center"/>
          </w:tcPr>
          <w:p w14:paraId="2D5615F9">
            <w:pPr>
              <w:widowControl/>
              <w:spacing w:line="38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AOC、戴尔、华硕、方正、联想、惠普等</w:t>
            </w:r>
          </w:p>
        </w:tc>
      </w:tr>
      <w:tr w14:paraId="3768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 w14:paraId="5D36EFF2">
            <w:pPr>
              <w:widowControl/>
              <w:spacing w:line="380" w:lineRule="exact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一体机搬迁</w:t>
            </w:r>
          </w:p>
        </w:tc>
        <w:tc>
          <w:tcPr>
            <w:tcW w:w="4688" w:type="dxa"/>
            <w:vAlign w:val="center"/>
          </w:tcPr>
          <w:p w14:paraId="0FEAB7B6">
            <w:pPr>
              <w:widowControl/>
              <w:spacing w:line="380" w:lineRule="exact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将更换下来的303台一体机搬迁至产业园校区指定位置安装（不需布线）及运输中所有风险责任承担</w:t>
            </w:r>
          </w:p>
        </w:tc>
        <w:tc>
          <w:tcPr>
            <w:tcW w:w="825" w:type="dxa"/>
            <w:vAlign w:val="center"/>
          </w:tcPr>
          <w:p w14:paraId="793F6ECE">
            <w:pPr>
              <w:widowControl/>
              <w:spacing w:line="38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303</w:t>
            </w:r>
          </w:p>
        </w:tc>
        <w:tc>
          <w:tcPr>
            <w:tcW w:w="945" w:type="dxa"/>
            <w:vAlign w:val="center"/>
          </w:tcPr>
          <w:p w14:paraId="01A5A1D4">
            <w:pPr>
              <w:widowControl/>
              <w:spacing w:line="38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1230" w:type="dxa"/>
            <w:vAlign w:val="center"/>
          </w:tcPr>
          <w:p w14:paraId="483BFDFF">
            <w:pPr>
              <w:widowControl/>
              <w:spacing w:line="380" w:lineRule="exact"/>
              <w:jc w:val="center"/>
              <w:rPr>
                <w:rFonts w:hint="eastAsia"/>
                <w:lang w:val="en-US" w:eastAsia="zh-CN"/>
              </w:rPr>
            </w:pPr>
          </w:p>
        </w:tc>
      </w:tr>
    </w:tbl>
    <w:p w14:paraId="72B6AD76">
      <w:pPr>
        <w:widowControl/>
        <w:spacing w:line="520" w:lineRule="exact"/>
        <w:jc w:val="left"/>
        <w:rPr>
          <w:rFonts w:hint="eastAsia" w:ascii="Times New Roman" w:hAnsi="Times New Roman" w:eastAsia="方正黑体_GBK" w:cs="Times New Roman"/>
          <w:b/>
          <w:sz w:val="32"/>
          <w:szCs w:val="32"/>
        </w:rPr>
      </w:pPr>
    </w:p>
    <w:p w14:paraId="088F455A">
      <w:pPr>
        <w:widowControl/>
        <w:jc w:val="left"/>
        <w:rPr>
          <w:rStyle w:val="7"/>
          <w:rFonts w:ascii="宋体" w:hAnsi="宋体" w:cs="宋体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38F1DE91">
      <w:pPr>
        <w:widowControl/>
        <w:jc w:val="left"/>
        <w:rPr>
          <w:rStyle w:val="7"/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64D50944">
      <w:pPr>
        <w:pStyle w:val="3"/>
        <w:numPr>
          <w:ilvl w:val="0"/>
          <w:numId w:val="0"/>
        </w:numPr>
        <w:spacing w:line="520" w:lineRule="exact"/>
        <w:ind w:left="576" w:hanging="576"/>
        <w:rPr>
          <w:rFonts w:hint="eastAsia" w:ascii="Times New Roman" w:hAnsi="Times New Roman" w:eastAsia="方正黑体_GBK" w:cs="Times New Roman"/>
          <w:b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/>
          <w:bCs w:val="0"/>
          <w:kern w:val="2"/>
          <w:sz w:val="32"/>
          <w:szCs w:val="32"/>
          <w:lang w:val="en-US" w:eastAsia="zh-CN" w:bidi="ar-SA"/>
        </w:rPr>
        <w:t>三、商务要求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833"/>
        <w:gridCol w:w="5855"/>
      </w:tblGrid>
      <w:tr w14:paraId="53D72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9" w:type="pct"/>
            <w:vAlign w:val="center"/>
          </w:tcPr>
          <w:p w14:paraId="6B1C83BF">
            <w:pPr>
              <w:spacing w:line="520" w:lineRule="exac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序号</w:t>
            </w:r>
          </w:p>
        </w:tc>
        <w:tc>
          <w:tcPr>
            <w:tcW w:w="1075" w:type="pct"/>
            <w:vAlign w:val="center"/>
          </w:tcPr>
          <w:p w14:paraId="64A61B11">
            <w:pPr>
              <w:spacing w:line="520" w:lineRule="exac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目录</w:t>
            </w:r>
          </w:p>
        </w:tc>
        <w:tc>
          <w:tcPr>
            <w:tcW w:w="3434" w:type="pct"/>
            <w:vAlign w:val="center"/>
          </w:tcPr>
          <w:p w14:paraId="30F7F5DD">
            <w:pPr>
              <w:spacing w:line="520" w:lineRule="exact"/>
              <w:jc w:val="center"/>
              <w:rPr>
                <w:rFonts w:ascii="宋体" w:hAnsi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</w:rPr>
              <w:t>商务需求</w:t>
            </w:r>
          </w:p>
        </w:tc>
      </w:tr>
      <w:tr w14:paraId="0BFF4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" w:hRule="atLeast"/>
          <w:jc w:val="center"/>
        </w:trPr>
        <w:tc>
          <w:tcPr>
            <w:tcW w:w="489" w:type="pct"/>
            <w:vAlign w:val="center"/>
          </w:tcPr>
          <w:p w14:paraId="31E1D254">
            <w:pPr>
              <w:spacing w:line="520" w:lineRule="exact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</w:t>
            </w:r>
          </w:p>
        </w:tc>
        <w:tc>
          <w:tcPr>
            <w:tcW w:w="1075" w:type="pct"/>
            <w:vAlign w:val="center"/>
          </w:tcPr>
          <w:p w14:paraId="09BCBAD3">
            <w:pPr>
              <w:spacing w:line="520" w:lineRule="exact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免费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质保</w:t>
            </w:r>
            <w:r>
              <w:rPr>
                <w:rFonts w:hint="eastAsia" w:ascii="宋体" w:hAnsi="宋体" w:cs="宋体"/>
                <w:sz w:val="21"/>
                <w:szCs w:val="21"/>
              </w:rPr>
              <w:t>期</w:t>
            </w:r>
          </w:p>
        </w:tc>
        <w:tc>
          <w:tcPr>
            <w:tcW w:w="3434" w:type="pct"/>
          </w:tcPr>
          <w:p w14:paraId="11561CD4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免费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质保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期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年及以上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时间自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验收合格之日起计算。</w:t>
            </w:r>
          </w:p>
        </w:tc>
      </w:tr>
      <w:tr w14:paraId="18DAC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489" w:type="pct"/>
            <w:vAlign w:val="center"/>
          </w:tcPr>
          <w:p w14:paraId="24439902">
            <w:pPr>
              <w:spacing w:line="520" w:lineRule="exact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2</w:t>
            </w:r>
          </w:p>
        </w:tc>
        <w:tc>
          <w:tcPr>
            <w:tcW w:w="1075" w:type="pct"/>
          </w:tcPr>
          <w:p w14:paraId="57C11762">
            <w:pPr>
              <w:spacing w:line="52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  <w:p w14:paraId="3A6D211B">
            <w:pPr>
              <w:spacing w:line="520" w:lineRule="exac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  <w:p w14:paraId="3517B936">
            <w:pPr>
              <w:spacing w:line="520" w:lineRule="exact"/>
              <w:jc w:val="both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维修响应及故障解决时间</w:t>
            </w:r>
          </w:p>
        </w:tc>
        <w:tc>
          <w:tcPr>
            <w:tcW w:w="3434" w:type="pct"/>
          </w:tcPr>
          <w:p w14:paraId="1CEC3E62">
            <w:pPr>
              <w:spacing w:line="520" w:lineRule="exac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1.质保期内上门免费维修及故障处理等保修服务。质保期内出现故障，供货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商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24小时内免费到现场，并解决问题，若不能按时解决问题，必须在48小时内提供损坏设备的代用品供学院暂时使用。</w:t>
            </w:r>
          </w:p>
          <w:p w14:paraId="5A98AC2A">
            <w:pPr>
              <w:spacing w:line="520" w:lineRule="exac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2.质保期内供应商向买方提供的设备，如果遇到质量问题由供应商无条件更换。</w:t>
            </w:r>
          </w:p>
          <w:p w14:paraId="39D341D8">
            <w:pPr>
              <w:spacing w:line="520" w:lineRule="exac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3.免费质保期后，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供应商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终身上门维修，仅收取人工及材料费。</w:t>
            </w:r>
          </w:p>
        </w:tc>
      </w:tr>
      <w:tr w14:paraId="7D396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489" w:type="pct"/>
            <w:vAlign w:val="center"/>
          </w:tcPr>
          <w:p w14:paraId="0D61DF29">
            <w:pPr>
              <w:spacing w:line="520" w:lineRule="exact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3</w:t>
            </w:r>
          </w:p>
        </w:tc>
        <w:tc>
          <w:tcPr>
            <w:tcW w:w="1075" w:type="pct"/>
            <w:vAlign w:val="center"/>
          </w:tcPr>
          <w:p w14:paraId="2C69D7E4">
            <w:pPr>
              <w:spacing w:line="520" w:lineRule="exact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关于交货期</w:t>
            </w:r>
          </w:p>
        </w:tc>
        <w:tc>
          <w:tcPr>
            <w:tcW w:w="3434" w:type="pct"/>
          </w:tcPr>
          <w:p w14:paraId="4E9C653E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（1）交货时间：202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月2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日之前完成所有设备的安装调试工作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（含接线点亮及网络配置等）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3665581E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（2）交货地点：重庆财经学院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（含产业园校区）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4A3ECD97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（3）投标人须承担的设备运输、安装调试、验收和提供设备操作说明书等其他应履行的义务。</w:t>
            </w:r>
          </w:p>
        </w:tc>
      </w:tr>
      <w:tr w14:paraId="78FE5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489" w:type="pct"/>
            <w:vAlign w:val="center"/>
          </w:tcPr>
          <w:p w14:paraId="02E72660">
            <w:pPr>
              <w:spacing w:line="520" w:lineRule="exact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4</w:t>
            </w:r>
          </w:p>
        </w:tc>
        <w:tc>
          <w:tcPr>
            <w:tcW w:w="1075" w:type="pct"/>
            <w:vAlign w:val="center"/>
          </w:tcPr>
          <w:p w14:paraId="5F777671">
            <w:pPr>
              <w:spacing w:line="520" w:lineRule="exact"/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关于验收</w:t>
            </w:r>
          </w:p>
        </w:tc>
        <w:tc>
          <w:tcPr>
            <w:tcW w:w="3434" w:type="pct"/>
          </w:tcPr>
          <w:p w14:paraId="036E37C8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1.新购设备到货检验：货物运到现场后，必须首先经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招标方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对产品表面检验之后，中标方才能进行施工安装。检验中如发现：包装不是出厂原包装或原包装封条更换；开箱后产品有损坏、缺陷或不符合合同中规定的品牌和质量标准，中标方必须无条件更换合格的产品。</w:t>
            </w:r>
          </w:p>
          <w:p w14:paraId="06205DCC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2.初验：工程竣工、调试结束后由中标方进行初验，并写出“初验报告单”提交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招标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方。初验时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招标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方安排1～2名技术人员参与。初验后，双方在“初验报告单”上签字，合格产品及部件的所有权将由中标方转移给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招标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方。</w:t>
            </w:r>
          </w:p>
          <w:p w14:paraId="40039145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3.试运行：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招标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方获得所有权后对新购设备进行适当时间的联机、烤机运行，若无故障再进行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1个月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的行课试运行。</w:t>
            </w:r>
          </w:p>
          <w:p w14:paraId="15ED1505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4.终验：在项目竣工结束后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个月内由双方进行最终验收，并填写“项目验收单”，双方签字，各执一份。</w:t>
            </w:r>
          </w:p>
        </w:tc>
      </w:tr>
      <w:tr w14:paraId="4F86E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489" w:type="pct"/>
            <w:vAlign w:val="center"/>
          </w:tcPr>
          <w:p w14:paraId="33040035">
            <w:pPr>
              <w:spacing w:line="520" w:lineRule="exact"/>
              <w:jc w:val="center"/>
              <w:rPr>
                <w:rFonts w:ascii="宋体" w:hAnsi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1075" w:type="pct"/>
            <w:vAlign w:val="center"/>
          </w:tcPr>
          <w:p w14:paraId="1CC8BFD6">
            <w:pPr>
              <w:spacing w:line="520" w:lineRule="exact"/>
              <w:jc w:val="center"/>
              <w:rPr>
                <w:rFonts w:ascii="宋体" w:hAnsi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</w:rPr>
              <w:t>付款方式</w:t>
            </w:r>
          </w:p>
        </w:tc>
        <w:tc>
          <w:tcPr>
            <w:tcW w:w="3434" w:type="pct"/>
            <w:vAlign w:val="center"/>
          </w:tcPr>
          <w:p w14:paraId="5F388EFE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付款方式：</w:t>
            </w:r>
          </w:p>
          <w:p w14:paraId="645CF93B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hint="default" w:ascii="宋体" w:hAnsi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①初验合格，试运行正常，支付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50%合同款</w:t>
            </w:r>
          </w:p>
          <w:p w14:paraId="7A0D592D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②终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验收合格后支付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%合同款；</w:t>
            </w:r>
          </w:p>
          <w:p w14:paraId="49F4A3AE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③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质保期满后，支付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宋体" w:hAnsi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%的剩余合同款（无息）。</w:t>
            </w:r>
          </w:p>
        </w:tc>
      </w:tr>
      <w:tr w14:paraId="66789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489" w:type="pct"/>
            <w:vAlign w:val="center"/>
          </w:tcPr>
          <w:p w14:paraId="0BA060CC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075" w:type="pct"/>
            <w:vAlign w:val="center"/>
          </w:tcPr>
          <w:p w14:paraId="2F3B962E"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报价</w:t>
            </w:r>
          </w:p>
        </w:tc>
        <w:tc>
          <w:tcPr>
            <w:tcW w:w="3434" w:type="pct"/>
            <w:vAlign w:val="center"/>
          </w:tcPr>
          <w:p w14:paraId="05AAF331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</w:rPr>
              <w:t>报价需包含设备安装、线路改造等费用（注：人工施工及线材安装部分、集成布线、插线板、HDMI网线延长器等以现场为准自行核算。超六类网线推荐：安普，一舟，爱谱华顿等（超六类双绞线，8蕊全铜，铜蕊直径 0.48mm）；电线推荐：鸽牌，南方，泰山等（≥2．5平方铜蕊电线）；电插线板推荐：公牛，子弹头等按电脑点数至少满足1：2配比插孔）。</w:t>
            </w:r>
          </w:p>
        </w:tc>
      </w:tr>
      <w:tr w14:paraId="75946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489" w:type="pct"/>
            <w:vAlign w:val="center"/>
          </w:tcPr>
          <w:p w14:paraId="20383444">
            <w:pPr>
              <w:spacing w:line="520" w:lineRule="exact"/>
              <w:jc w:val="center"/>
              <w:rPr>
                <w:rFonts w:hint="default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075" w:type="pct"/>
            <w:vAlign w:val="center"/>
          </w:tcPr>
          <w:p w14:paraId="6ABDF0C1">
            <w:pPr>
              <w:spacing w:line="520" w:lineRule="exact"/>
              <w:jc w:val="center"/>
              <w:rPr>
                <w:rFonts w:hint="default" w:ascii="宋体" w:hAnsi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现场展示</w:t>
            </w:r>
          </w:p>
        </w:tc>
        <w:tc>
          <w:tcPr>
            <w:tcW w:w="3434" w:type="pct"/>
            <w:vAlign w:val="center"/>
          </w:tcPr>
          <w:p w14:paraId="58991660">
            <w:pPr>
              <w:pStyle w:val="8"/>
              <w:tabs>
                <w:tab w:val="left" w:pos="851"/>
              </w:tabs>
              <w:spacing w:line="520" w:lineRule="exact"/>
              <w:ind w:firstLine="0" w:firstLineChars="0"/>
              <w:jc w:val="left"/>
              <w:rPr>
                <w:rFonts w:hint="default" w:eastAsia="宋体" w:asciiTheme="minorEastAsia" w:hAnsiTheme="minorEastAsia" w:cs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要求</w:t>
            </w:r>
            <w:r>
              <w:rPr>
                <w:rFonts w:hint="eastAsia" w:ascii="宋体" w:hAnsi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携带一体机</w:t>
            </w:r>
            <w:r>
              <w:rPr>
                <w:rFonts w:hint="eastAsia" w:ascii="宋体" w:hAnsi="宋体" w:cs="宋体"/>
                <w:color w:val="000000" w:themeColor="text1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现场演示，现场</w:t>
            </w:r>
            <w:r>
              <w:rPr>
                <w:rFonts w:hint="eastAsia" w:ascii="宋体" w:hAnsi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演示时间</w:t>
            </w:r>
            <w:r>
              <w:rPr>
                <w:rFonts w:hint="eastAsia" w:ascii="宋体" w:hAnsi="宋体" w:cs="宋体"/>
                <w:color w:val="000000" w:themeColor="text1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ascii="宋体" w:hAnsi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分钟</w:t>
            </w:r>
            <w:r>
              <w:rPr>
                <w:rFonts w:hint="eastAsia" w:ascii="宋体" w:hAnsi="宋体" w:cs="宋体"/>
                <w:color w:val="000000" w:themeColor="text1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演示所需要的相关设备由投标公司自行准备</w:t>
            </w:r>
            <w:r>
              <w:rPr>
                <w:rFonts w:hint="eastAsia" w:ascii="宋体" w:hAnsi="宋体" w:cs="宋体"/>
                <w:color w:val="000000" w:themeColor="text1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 w14:paraId="234CB05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BE1B30"/>
    <w:multiLevelType w:val="multilevel"/>
    <w:tmpl w:val="00BE1B30"/>
    <w:lvl w:ilvl="0" w:tentative="0">
      <w:start w:val="1"/>
      <w:numFmt w:val="chineseCountingThousand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8159D3"/>
    <w:rsid w:val="7681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qFormat/>
    <w:uiPriority w:val="0"/>
    <w:pPr>
      <w:keepNext/>
      <w:keepLines/>
      <w:numPr>
        <w:ilvl w:val="0"/>
        <w:numId w:val="1"/>
      </w:numPr>
      <w:spacing w:before="120" w:after="120" w:line="36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无 A"/>
    <w:qFormat/>
    <w:uiPriority w:val="0"/>
  </w:style>
  <w:style w:type="paragraph" w:customStyle="1" w:styleId="8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2025-05-19T06:34:00Z</dcterms:created>
  <dc:creator>刘六六</dc:creator>
  <cp:lastModifiedBy>刘六六</cp:lastModifiedBy>
  <dcterms:modified xsi:type="dcterms:W3CDTF">2025-05-19T06:34:31Z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7236BCF8027048CFB4FD6287C7D9E1F2_11</vt:lpwstr>
  </property>
  <property fmtid="{D5CDD505-2E9C-101B-9397-08002B2CF9AE}" pid="4" name="KSOTemplateDocerSaveRecord">
    <vt:lpwstr>eyJoZGlkIjoiZjBlZjljMDc5M2EwZGI1ODk3YWU2Y2Y0OGQ5ZTMzMmIiLCJ1c2VySWQiOiIxNTEzNDk4NjAwIn0=</vt:lpwstr>
  </property>
</Properties>
</file>