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C1ACAF">
      <w:pPr>
        <w:spacing w:line="240" w:lineRule="auto"/>
        <w:ind w:firstLine="0" w:firstLineChars="0"/>
        <w:rPr>
          <w:rFonts w:ascii="方正黑体_GBK" w:hAnsi="Times New Roman" w:eastAsia="方正黑体_GBK" w:cs="宋体"/>
          <w:bCs/>
          <w:color w:val="000000" w:themeColor="text1"/>
          <w:kern w:val="0"/>
          <w:sz w:val="32"/>
          <w:szCs w:val="44"/>
          <w14:textFill>
            <w14:solidFill>
              <w14:schemeClr w14:val="tx1"/>
            </w14:solidFill>
          </w14:textFill>
        </w:rPr>
      </w:pPr>
      <w:r>
        <w:rPr>
          <w:rFonts w:hint="eastAsia" w:ascii="方正黑体_GBK" w:hAnsi="Times New Roman" w:eastAsia="方正黑体_GBK" w:cs="宋体"/>
          <w:bCs/>
          <w:color w:val="000000" w:themeColor="text1"/>
          <w:kern w:val="0"/>
          <w:sz w:val="32"/>
          <w:szCs w:val="44"/>
          <w14:textFill>
            <w14:solidFill>
              <w14:schemeClr w14:val="tx1"/>
            </w14:solidFill>
          </w14:textFill>
        </w:rPr>
        <w:t>附件2</w:t>
      </w:r>
    </w:p>
    <w:p w14:paraId="46895AE6">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4F6F1E53">
      <w:pPr>
        <w:spacing w:line="240" w:lineRule="auto"/>
        <w:ind w:firstLine="0" w:firstLineChars="0"/>
        <w:jc w:val="center"/>
        <w:rPr>
          <w:rFonts w:ascii="华文中宋" w:hAnsi="Times New Roman" w:eastAsia="华文中宋" w:cs="宋体"/>
          <w:b/>
          <w:bCs/>
          <w:color w:val="000000" w:themeColor="text1"/>
          <w:kern w:val="0"/>
          <w:sz w:val="52"/>
          <w:szCs w:val="52"/>
          <w14:textFill>
            <w14:solidFill>
              <w14:schemeClr w14:val="tx1"/>
            </w14:solidFill>
          </w14:textFill>
        </w:rPr>
      </w:pPr>
    </w:p>
    <w:p w14:paraId="6F16E6F2">
      <w:pPr>
        <w:spacing w:line="240" w:lineRule="auto"/>
        <w:ind w:firstLine="0" w:firstLineChars="0"/>
        <w:jc w:val="center"/>
        <w:rPr>
          <w:rFonts w:ascii="华文中宋" w:hAnsi="Times New Roman" w:eastAsia="华文中宋" w:cs="宋体"/>
          <w:b/>
          <w:bCs/>
          <w:color w:val="000000" w:themeColor="text1"/>
          <w:kern w:val="0"/>
          <w:sz w:val="52"/>
          <w:szCs w:val="52"/>
          <w14:textFill>
            <w14:solidFill>
              <w14:schemeClr w14:val="tx1"/>
            </w14:solidFill>
          </w14:textFill>
        </w:rPr>
      </w:pPr>
    </w:p>
    <w:p w14:paraId="3C8A6C3C">
      <w:pPr>
        <w:spacing w:line="600" w:lineRule="exact"/>
        <w:ind w:firstLine="0" w:firstLineChars="0"/>
        <w:jc w:val="center"/>
        <w:rPr>
          <w:rFonts w:hint="eastAsia" w:ascii="方正小标宋_GBK" w:hAnsi="Times New Roman" w:eastAsia="方正小标宋_GBK" w:cs="宋体"/>
          <w:b/>
          <w:bCs/>
          <w:color w:val="000000" w:themeColor="text1"/>
          <w:kern w:val="0"/>
          <w:sz w:val="44"/>
          <w:szCs w:val="52"/>
          <w14:textFill>
            <w14:solidFill>
              <w14:schemeClr w14:val="tx1"/>
            </w14:solidFill>
          </w14:textFill>
        </w:rPr>
      </w:pPr>
      <w:r>
        <w:rPr>
          <w:rFonts w:hint="eastAsia" w:ascii="方正小标宋_GBK" w:hAnsi="Times New Roman" w:eastAsia="方正小标宋_GBK" w:cs="宋体"/>
          <w:b/>
          <w:bCs/>
          <w:color w:val="000000" w:themeColor="text1"/>
          <w:kern w:val="0"/>
          <w:sz w:val="44"/>
          <w:szCs w:val="52"/>
          <w14:textFill>
            <w14:solidFill>
              <w14:schemeClr w14:val="tx1"/>
            </w14:solidFill>
          </w14:textFill>
        </w:rPr>
        <w:t>2025年度市教委人文社会科学研究项目</w:t>
      </w:r>
    </w:p>
    <w:p w14:paraId="1F0A8936">
      <w:pPr>
        <w:spacing w:line="600" w:lineRule="exact"/>
        <w:ind w:firstLine="0" w:firstLineChars="0"/>
        <w:jc w:val="center"/>
        <w:rPr>
          <w:rFonts w:ascii="方正小标宋_GBK" w:hAnsi="Times New Roman" w:eastAsia="方正小标宋_GBK" w:cs="宋体"/>
          <w:b/>
          <w:bCs/>
          <w:color w:val="000000" w:themeColor="text1"/>
          <w:kern w:val="0"/>
          <w:sz w:val="44"/>
          <w:szCs w:val="52"/>
          <w14:textFill>
            <w14:solidFill>
              <w14:schemeClr w14:val="tx1"/>
            </w14:solidFill>
          </w14:textFill>
        </w:rPr>
      </w:pPr>
      <w:r>
        <w:rPr>
          <w:rFonts w:hint="eastAsia" w:ascii="方正小标宋_GBK" w:hAnsi="Times New Roman" w:eastAsia="方正小标宋_GBK" w:cs="宋体"/>
          <w:b/>
          <w:bCs/>
          <w:color w:val="000000" w:themeColor="text1"/>
          <w:kern w:val="0"/>
          <w:sz w:val="44"/>
          <w:szCs w:val="52"/>
          <w14:textFill>
            <w14:solidFill>
              <w14:schemeClr w14:val="tx1"/>
            </w14:solidFill>
          </w14:textFill>
        </w:rPr>
        <w:t>选题综合要求</w:t>
      </w:r>
    </w:p>
    <w:p w14:paraId="7F4B67F6">
      <w:pPr>
        <w:spacing w:line="240" w:lineRule="auto"/>
        <w:ind w:firstLine="0" w:firstLineChars="0"/>
        <w:jc w:val="center"/>
        <w:rPr>
          <w:rFonts w:ascii="华文中宋" w:hAnsi="Times New Roman" w:eastAsia="华文中宋" w:cs="宋体"/>
          <w:b/>
          <w:bCs/>
          <w:color w:val="000000" w:themeColor="text1"/>
          <w:kern w:val="0"/>
          <w:sz w:val="36"/>
          <w:szCs w:val="36"/>
          <w14:textFill>
            <w14:solidFill>
              <w14:schemeClr w14:val="tx1"/>
            </w14:solidFill>
          </w14:textFill>
        </w:rPr>
      </w:pPr>
    </w:p>
    <w:p w14:paraId="11055C7F">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26F78BFD">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46F122F3">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2E1826B1">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6F010AFE">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268C4279">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470364E4">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2432683C">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292A8CC2">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3F241571">
      <w:pPr>
        <w:spacing w:line="240" w:lineRule="auto"/>
        <w:ind w:firstLine="0" w:firstLineChars="0"/>
        <w:jc w:val="center"/>
        <w:rPr>
          <w:rFonts w:ascii="楷体_GB2312" w:hAnsi="Times New Roman" w:eastAsia="楷体_GB2312" w:cs="宋体"/>
          <w:b/>
          <w:bCs/>
          <w:color w:val="000000" w:themeColor="text1"/>
          <w:kern w:val="0"/>
          <w:sz w:val="36"/>
          <w:szCs w:val="36"/>
          <w14:textFill>
            <w14:solidFill>
              <w14:schemeClr w14:val="tx1"/>
            </w14:solidFill>
          </w14:textFill>
        </w:rPr>
      </w:pPr>
    </w:p>
    <w:p w14:paraId="6227D52A">
      <w:pPr>
        <w:spacing w:line="240" w:lineRule="auto"/>
        <w:ind w:firstLine="0" w:firstLineChars="0"/>
        <w:jc w:val="center"/>
        <w:rPr>
          <w:rFonts w:ascii="方正楷体_GBK" w:hAnsi="Times New Roman" w:eastAsia="方正楷体_GBK" w:cs="宋体"/>
          <w:bCs/>
          <w:color w:val="000000" w:themeColor="text1"/>
          <w:kern w:val="0"/>
          <w:sz w:val="36"/>
          <w:szCs w:val="36"/>
          <w14:textFill>
            <w14:solidFill>
              <w14:schemeClr w14:val="tx1"/>
            </w14:solidFill>
          </w14:textFill>
        </w:rPr>
      </w:pPr>
      <w:r>
        <w:rPr>
          <w:rFonts w:hint="eastAsia" w:ascii="方正楷体_GBK" w:hAnsi="Times New Roman" w:eastAsia="方正楷体_GBK" w:cs="宋体"/>
          <w:bCs/>
          <w:color w:val="000000" w:themeColor="text1"/>
          <w:kern w:val="0"/>
          <w:sz w:val="36"/>
          <w:szCs w:val="36"/>
          <w14:textFill>
            <w14:solidFill>
              <w14:schemeClr w14:val="tx1"/>
            </w14:solidFill>
          </w14:textFill>
        </w:rPr>
        <w:t>2024年12月</w:t>
      </w:r>
    </w:p>
    <w:p w14:paraId="518B18C2">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pPr>
    </w:p>
    <w:p w14:paraId="70B8CE90">
      <w:pPr>
        <w:spacing w:line="240" w:lineRule="auto"/>
        <w:ind w:firstLine="0" w:firstLineChars="0"/>
        <w:jc w:val="center"/>
        <w:rPr>
          <w:rFonts w:ascii="黑体" w:hAnsi="Times New Roman" w:eastAsia="黑体" w:cs="宋体"/>
          <w:b/>
          <w:bCs/>
          <w:color w:val="000000" w:themeColor="text1"/>
          <w:kern w:val="0"/>
          <w:sz w:val="44"/>
          <w:szCs w:val="44"/>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1361" w:right="1797" w:bottom="1361" w:left="1797" w:header="851" w:footer="992" w:gutter="0"/>
          <w:pgNumType w:start="1"/>
          <w:cols w:space="720" w:num="1"/>
          <w:docGrid w:type="lines" w:linePitch="312" w:charSpace="0"/>
        </w:sectPr>
      </w:pPr>
    </w:p>
    <w:p w14:paraId="1978702D">
      <w:pPr>
        <w:widowControl w:val="0"/>
        <w:autoSpaceDN w:val="0"/>
        <w:spacing w:line="600" w:lineRule="exact"/>
        <w:ind w:firstLine="640"/>
        <w:textAlignment w:val="center"/>
        <w:rPr>
          <w:rFonts w:hint="eastAsia" w:ascii="Times New Roman" w:hAnsi="Times New Roman" w:eastAsia="方正仿宋_GBK" w:cs="Times New Roman"/>
          <w:b/>
          <w:bCs w:val="0"/>
          <w:color w:val="C00000"/>
          <w:kern w:val="0"/>
          <w:sz w:val="32"/>
          <w:szCs w:val="32"/>
          <w:u w:val="single"/>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基础理论研究侧重对促进学科发展、有重大理论价值和学术创新的项目进行支持，应用理论与对策研究侧重对国家和我市经济社会发展重要问题相关项目进行支持，鼓励前瞻性、战略性研究。申请者应紧紧围绕深学笃用习近平新时代中国特色社会主义思想，学习贯彻党的二十大和二十届三中全会精神，以及习近平总书记视察重庆重要讲话重要指示精神，学习贯彻全国教育大会、新时代学校</w:t>
      </w:r>
      <w:r>
        <w:rPr>
          <w:rFonts w:hint="eastAsia" w:ascii="Times New Roman" w:hAnsi="Times New Roman" w:eastAsia="方正仿宋_GBK" w:cs="Times New Roman"/>
          <w:b w:val="0"/>
          <w:bCs/>
          <w:color w:val="000000" w:themeColor="text1"/>
          <w:kern w:val="0"/>
          <w:sz w:val="32"/>
          <w:szCs w:val="32"/>
          <w14:textFill>
            <w14:solidFill>
              <w14:schemeClr w14:val="tx1"/>
            </w14:solidFill>
          </w14:textFill>
        </w:rPr>
        <w:t>思政课建设推进会、马克思主义理论研究和建设工程工作会议等会议精神，聚焦重大理论和现实问题</w:t>
      </w:r>
      <w:r>
        <w:rPr>
          <w:rFonts w:hint="eastAsia" w:ascii="Times New Roman" w:hAnsi="Times New Roman" w:eastAsia="方正仿宋_GBK" w:cs="Times New Roman"/>
          <w:b w:val="0"/>
          <w:bCs/>
          <w:color w:val="000000" w:themeColor="text1"/>
          <w:kern w:val="0"/>
          <w:sz w:val="32"/>
          <w:szCs w:val="32"/>
          <w:lang w:eastAsia="zh-CN"/>
          <w14:textFill>
            <w14:solidFill>
              <w14:schemeClr w14:val="tx1"/>
            </w14:solidFill>
          </w14:textFill>
        </w:rPr>
        <w:t>。</w:t>
      </w:r>
      <w:r>
        <w:rPr>
          <w:rFonts w:hint="eastAsia" w:ascii="Times New Roman" w:hAnsi="Times New Roman" w:eastAsia="方正仿宋_GBK" w:cs="Times New Roman"/>
          <w:b/>
          <w:bCs w:val="0"/>
          <w:color w:val="C00000"/>
          <w:kern w:val="0"/>
          <w:sz w:val="32"/>
          <w:szCs w:val="32"/>
          <w:u w:val="single"/>
        </w:rPr>
        <w:t>为提高项目选题质量，更好服务经济社会发展，项目选题原则上须符合下列条件。</w:t>
      </w:r>
    </w:p>
    <w:p w14:paraId="71A2B535">
      <w:pPr>
        <w:widowControl w:val="0"/>
        <w:autoSpaceDN w:val="0"/>
        <w:spacing w:line="600" w:lineRule="exact"/>
        <w:ind w:firstLine="640"/>
        <w:textAlignment w:val="center"/>
        <w:rPr>
          <w:rFonts w:hint="eastAsia" w:ascii="Times New Roman" w:hAnsi="Times New Roman" w:eastAsia="方正仿宋_GBK" w:cs="Times New Roman"/>
          <w:b w:val="0"/>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 w:val="0"/>
          <w:bCs/>
          <w:color w:val="000000" w:themeColor="text1"/>
          <w:kern w:val="0"/>
          <w:sz w:val="32"/>
          <w:szCs w:val="32"/>
          <w14:textFill>
            <w14:solidFill>
              <w14:schemeClr w14:val="tx1"/>
            </w14:solidFill>
          </w14:textFill>
        </w:rPr>
        <w:t>（一）与学校重点学科方向、专硕点特色方向、市级重点实验室、国家一流本科专业建设项目、高校哲学社会科学协同创新研究团队、市高校科技创新研究群体、市教育科研实验基地等平台团队等强相关。</w:t>
      </w:r>
    </w:p>
    <w:p w14:paraId="7289600E">
      <w:pPr>
        <w:widowControl w:val="0"/>
        <w:autoSpaceDN w:val="0"/>
        <w:spacing w:line="600" w:lineRule="exact"/>
        <w:ind w:firstLine="640"/>
        <w:textAlignment w:val="center"/>
        <w:rPr>
          <w:rFonts w:hint="eastAsia" w:ascii="Times New Roman" w:hAnsi="Times New Roman" w:eastAsia="方正仿宋_GBK" w:cs="Times New Roman"/>
          <w:b w:val="0"/>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 w:val="0"/>
          <w:bCs/>
          <w:color w:val="000000" w:themeColor="text1"/>
          <w:kern w:val="0"/>
          <w:sz w:val="32"/>
          <w:szCs w:val="32"/>
          <w14:textFill>
            <w14:solidFill>
              <w14:schemeClr w14:val="tx1"/>
            </w14:solidFill>
          </w14:textFill>
        </w:rPr>
        <w:t>（二）在符合前述规定的情况下，选题应结合习近平总书记视察重庆重要讲话和指示精神，二十届三中全会、市委六届五次、六次全会精神，中央经济工作会，中央农村工作会议，全市教育大会等会议精神。</w:t>
      </w:r>
    </w:p>
    <w:p w14:paraId="03EBD299">
      <w:pPr>
        <w:widowControl w:val="0"/>
        <w:autoSpaceDN w:val="0"/>
        <w:spacing w:line="600" w:lineRule="exact"/>
        <w:ind w:firstLine="640"/>
        <w:textAlignment w:val="center"/>
        <w:rPr>
          <w:rFonts w:hint="eastAsia" w:ascii="Times New Roman" w:hAnsi="Times New Roman" w:eastAsia="方正仿宋_GBK" w:cs="Times New Roman"/>
          <w:b w:val="0"/>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 w:val="0"/>
          <w:bCs/>
          <w:color w:val="000000" w:themeColor="text1"/>
          <w:kern w:val="0"/>
          <w:sz w:val="32"/>
          <w:szCs w:val="32"/>
          <w14:textFill>
            <w14:solidFill>
              <w14:schemeClr w14:val="tx1"/>
            </w14:solidFill>
          </w14:textFill>
        </w:rPr>
        <w:t>（三）与学校重要专项工作的战略研究。高质量推进产教融合、党建引领乡村振兴、人口老龄化与智慧养老、产学研合作等。</w:t>
      </w:r>
    </w:p>
    <w:p w14:paraId="14308E22">
      <w:pPr>
        <w:widowControl w:val="0"/>
        <w:autoSpaceDN w:val="0"/>
        <w:spacing w:line="600" w:lineRule="exact"/>
        <w:ind w:firstLine="640"/>
        <w:textAlignment w:val="center"/>
        <w:rPr>
          <w:rFonts w:hint="eastAsia" w:ascii="Times New Roman" w:hAnsi="Times New Roman" w:eastAsia="方正仿宋_GBK" w:cs="Times New Roman"/>
          <w:b w:val="0"/>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 w:val="0"/>
          <w:bCs/>
          <w:color w:val="000000" w:themeColor="text1"/>
          <w:kern w:val="0"/>
          <w:sz w:val="32"/>
          <w:szCs w:val="32"/>
          <w14:textFill>
            <w14:solidFill>
              <w14:schemeClr w14:val="tx1"/>
            </w14:solidFill>
          </w14:textFill>
        </w:rPr>
        <w:t>研究咨政专项必须紧密围绕全市教育大会精神，聚焦产教融合设计选题，每个学院限报1项。</w:t>
      </w:r>
    </w:p>
    <w:p w14:paraId="3E86B956">
      <w:pPr>
        <w:widowControl w:val="0"/>
        <w:numPr>
          <w:ilvl w:val="0"/>
          <w:numId w:val="1"/>
        </w:numPr>
        <w:autoSpaceDN w:val="0"/>
        <w:spacing w:line="600" w:lineRule="exact"/>
        <w:ind w:firstLine="640"/>
        <w:textAlignment w:val="center"/>
        <w:rPr>
          <w:rFonts w:hint="eastAsia" w:ascii="Times New Roman" w:hAnsi="Times New Roman" w:eastAsia="方正仿宋_GBK" w:cs="Times New Roman"/>
          <w:b w:val="0"/>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 w:val="0"/>
          <w:bCs/>
          <w:color w:val="000000" w:themeColor="text1"/>
          <w:kern w:val="0"/>
          <w:sz w:val="32"/>
          <w:szCs w:val="32"/>
          <w14:textFill>
            <w14:solidFill>
              <w14:schemeClr w14:val="tx1"/>
            </w14:solidFill>
          </w14:textFill>
        </w:rPr>
        <w:t>基地项目选题与重庆市高校哲学社会科学协同创新团队“全域绿色高质量发展跨学科研究团队”方向一致，由团队首席专家推荐。</w:t>
      </w:r>
    </w:p>
    <w:p w14:paraId="5D75B3C8">
      <w:pPr>
        <w:widowControl w:val="0"/>
        <w:autoSpaceDN w:val="0"/>
        <w:spacing w:line="600" w:lineRule="exact"/>
        <w:ind w:firstLine="640"/>
        <w:textAlignment w:val="center"/>
        <w:rPr>
          <w:rFonts w:hint="eastAsia" w:ascii="Times New Roman" w:hAnsi="Times New Roman" w:eastAsia="方正仿宋_GBK" w:cs="Times New Roman"/>
          <w:bCs/>
          <w:color w:val="000000" w:themeColor="text1"/>
          <w:kern w:val="0"/>
          <w:sz w:val="32"/>
          <w:szCs w:val="32"/>
          <w:lang w:eastAsia="zh-CN"/>
          <w14:textFill>
            <w14:solidFill>
              <w14:schemeClr w14:val="tx1"/>
            </w14:solidFill>
          </w14:textFill>
        </w:rPr>
      </w:pPr>
      <w:r>
        <w:rPr>
          <w:rFonts w:ascii="Times New Roman" w:hAnsi="Times New Roman" w:eastAsia="方正仿宋_GBK"/>
          <w:b w:val="0"/>
          <w:bCs/>
          <w:sz w:val="32"/>
          <w:szCs w:val="32"/>
          <w:lang w:val="zh-CN"/>
        </w:rPr>
        <w:t>参照有关课题指南，围绕以下</w:t>
      </w:r>
      <w:r>
        <w:rPr>
          <w:rFonts w:ascii="Times New Roman" w:hAnsi="Times New Roman" w:eastAsia="方正仿宋_GBK"/>
          <w:sz w:val="32"/>
          <w:szCs w:val="32"/>
          <w:lang w:val="zh-CN"/>
        </w:rPr>
        <w:t>立项重点，结合个人学术专长和研究基础选择申报。</w:t>
      </w:r>
    </w:p>
    <w:p w14:paraId="456A6A5A">
      <w:pPr>
        <w:widowControl w:val="0"/>
        <w:autoSpaceDN w:val="0"/>
        <w:spacing w:line="600" w:lineRule="exact"/>
        <w:ind w:firstLine="640"/>
        <w:textAlignment w:val="center"/>
        <w:rPr>
          <w:rFonts w:hint="eastAsia"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（一）规划项目立项重点</w:t>
      </w:r>
    </w:p>
    <w:p w14:paraId="3DCC94D0">
      <w:pPr>
        <w:widowControl w:val="0"/>
        <w:autoSpaceDN w:val="0"/>
        <w:spacing w:line="600" w:lineRule="exact"/>
        <w:ind w:firstLine="640"/>
        <w:textAlignment w:val="center"/>
        <w:rPr>
          <w:rFonts w:hint="eastAsia"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深入学习贯彻党的二十届三中全会精神，聚焦大会主题，围绕进一步全面深化改革、推进中国式现代化，深入研究阐释如何构建高水平社会主义市场经济体制，健全推动经济高质量发展体制机制，构建支持全面创新体制机制，健全宏观经济治理体系，完善城乡融合发展体制机制，完善高水平对外开放体制机制，健全全过程人民民主制度体系，完善中国特色社会主义法治体系，深化文化体制机制改革，健全保障和改善民生制度体系，深化生态文明体制改革，推进国家安全体系和能力现代化，持续深化国防和军队改革，提高党对进一步全面深化改革、推进中国式现代化的领导水平。</w:t>
      </w:r>
    </w:p>
    <w:p w14:paraId="27A33703">
      <w:pPr>
        <w:widowControl w:val="0"/>
        <w:autoSpaceDN w:val="0"/>
        <w:spacing w:line="600" w:lineRule="exact"/>
        <w:ind w:firstLine="640"/>
        <w:textAlignment w:val="center"/>
        <w:rPr>
          <w:rFonts w:hint="eastAsia"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深入学习贯彻全国教育大会精神，深刻认识和把握习近平总书记重要讲话的核心要义、精神实质、实践要求，深刻认识和把握习近平总书记擘画的教育强国战略图景，深刻认识和把握习近平总书记强调的教育强国建设科学规律，把学习研究阐释习近平总书记重要讲话精神与学习《论教育》结合起来，牢牢把握教育的政治属性、人民属性、战略属性，加强对教育强国的科学内涵、教育强国建设要正确处理好的重大关系、全面推进教育强国建设战略任务等的研究，为加快建设教育强国提供理论支撑和智力支持。</w:t>
      </w:r>
    </w:p>
    <w:p w14:paraId="27CD6D56">
      <w:pPr>
        <w:widowControl w:val="0"/>
        <w:autoSpaceDN w:val="0"/>
        <w:spacing w:line="600" w:lineRule="exact"/>
        <w:ind w:firstLine="640"/>
        <w:textAlignment w:val="center"/>
        <w:rPr>
          <w:rFonts w:hint="eastAsia"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3.深入学习贯彻马克思主义理论研究和建设工程工作会议精神，围绕推动党的创新理论更加深入人心，深入研究如何坚持“两个结合”，深化马克思主义基本原理研究，深入回答中国具体实际问题，深入挖掘中华优秀传统文化的丰富内涵和时代价值，持续激发理论创造活力。深入研究如何以党的创新理论为引领，适应时代要求，立足中国实际，系统提炼总结标识性概念、原创性理论，推动构建哲学社会科学自主知识体系，加强和改善党对哲学社会科学工作的领导、提升服务经济社会发展能力水平、培养壮大哲学社会科学人才队伍、改进科研管理与评价体制、推动中国特色新型智库建设、完善制度机制营造良好学术生态等。</w:t>
      </w:r>
    </w:p>
    <w:p w14:paraId="7AFEBFC8">
      <w:pPr>
        <w:widowControl w:val="0"/>
        <w:autoSpaceDN w:val="0"/>
        <w:spacing w:line="600" w:lineRule="exact"/>
        <w:ind w:firstLine="640"/>
        <w:textAlignment w:val="center"/>
        <w:rPr>
          <w:rFonts w:hint="eastAsia"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4.深入学习贯彻市委六届五次、六次全会精神，紧扣“奋力谱写中国式现代化重庆篇章”总纲领总遵循，围绕做实“两大定位”、发挥“三个作用”、建设“六个区”，深入研究如何打造构建高水平社会主义市场经济体制、健全经济高质量发展体系、支持全面创新体制机制、完善内陆高水平对外开放新体制、建立智慧高效城市治理体系、健全统筹城乡发展体制机制、深化文化体制改革、健全保障和改善民生制度体系、筑牢长江上游重要生态屏障、健全全过程人民民主制度体系、完善平安法治一体推进体制机制、完善党对进一步全面深化改革的领导体制机制等标志性成果，加快实现全面深化改革先行区建设取得突破性进展，推进市域治理体系和治理能力现代化。</w:t>
      </w:r>
    </w:p>
    <w:p w14:paraId="3AEA9D43">
      <w:pPr>
        <w:widowControl w:val="0"/>
        <w:autoSpaceDN w:val="0"/>
        <w:spacing w:line="600" w:lineRule="exact"/>
        <w:ind w:firstLine="640"/>
        <w:textAlignment w:val="center"/>
        <w:rPr>
          <w:rFonts w:hint="eastAsia"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5.围绕全市教育大会精神，锚定西部基础教育排头兵、全国职业教育重镇、高等教育综合改革新引擎、教育科技人才一体推进样板、内陆教育开放合作窗口五个发展定位，深入研究如何发挥比较优势、做强做优特色，扎实推动立德树人成效、教育对高质量发展贡献度、人民群众教育获得感、教育综合改革质效、高素质专业化教师队伍建设水平、党建统领教育安全治理水平，扎实推动教育现代化、加快建设新时代教育强市，为奋力谱写中国式现代化重庆篇章提供有力支撑。</w:t>
      </w:r>
    </w:p>
    <w:p w14:paraId="36B91D21">
      <w:pPr>
        <w:widowControl w:val="0"/>
        <w:autoSpaceDN w:val="0"/>
        <w:spacing w:line="600" w:lineRule="exact"/>
        <w:ind w:firstLine="640"/>
        <w:textAlignment w:val="center"/>
        <w:rPr>
          <w:rFonts w:hint="eastAsia"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6.聚焦“培养什么人、怎样培养人、为谁培养人”，深入研究如何深入实施新时代立德树人工程，健全德智体美劳全面培养体系，提升学生人文底蕴、科学精神、实践创新等核心素养，促进学生全面健康发展，全面加强教材建设和管理，提高文化育人、实践育人和网络育人能力。全面加强教师思想政治和师德师风建设，加强师生心理健康工作，完善思想政治工作体系，提高大学生思想政治教育针对性、时效性。贯彻落实新时代公民道德建设实施纲要、新时代爱国主义教育实施纲要，深入开展社会主义核心价值观宣传教育，深化爱国主义、集体主义、社会主义教育，着力培养更让党放心、爱国奉献、担当民族复兴重任的时代新人。</w:t>
      </w:r>
    </w:p>
    <w:p w14:paraId="3338D0F0">
      <w:pPr>
        <w:widowControl w:val="0"/>
        <w:autoSpaceDN w:val="0"/>
        <w:spacing w:line="600" w:lineRule="exact"/>
        <w:ind w:firstLine="640"/>
        <w:textAlignment w:val="center"/>
        <w:rPr>
          <w:rFonts w:hint="eastAsia"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（二）思政专项立项重点</w:t>
      </w:r>
    </w:p>
    <w:p w14:paraId="6B29D1FB">
      <w:pPr>
        <w:widowControl w:val="0"/>
        <w:autoSpaceDN w:val="0"/>
        <w:spacing w:line="600" w:lineRule="exact"/>
        <w:ind w:firstLine="640"/>
        <w:textAlignment w:val="center"/>
        <w:rPr>
          <w:rFonts w:hint="eastAsia"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围绕贯彻落实中央和市委关于进一步加强和改进新形势下高校宣传思想工作的意见精神，深入研究如何建设具有强大凝聚力和引领力的社会主义意识形态、牢牢掌握党对高校意识形态工作的领导权管理权话语权、全面落实高校意识形态工作责任制、巩固壮大奋进新时代的主流思想舆论等问题。</w:t>
      </w:r>
    </w:p>
    <w:p w14:paraId="38F4A636">
      <w:pPr>
        <w:widowControl w:val="0"/>
        <w:autoSpaceDN w:val="0"/>
        <w:spacing w:line="600" w:lineRule="exact"/>
        <w:ind w:firstLine="640"/>
        <w:textAlignment w:val="center"/>
        <w:rPr>
          <w:rFonts w:hint="eastAsia"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围绕坚持用习近平新时代中国特色社会主义思想铸魂育人，以实施新时代立德树人工程为引领，深入研究如何加强和改进新时代学校思想政治教育，完善高校思想政治工作体系、推进大中小学思想政治教育一体化建设有关问题，包括统筹抓好“思想政治质量提升项目”建设，提升高校辅导员职业能力水平，规范发展心理健康教育与咨询服务，推进新时代高校学生工作实践创新，开展大学生职业生涯规划和毕业生就业创业指导等理论与实践问题。</w:t>
      </w:r>
    </w:p>
    <w:p w14:paraId="7AD2FA03">
      <w:pPr>
        <w:widowControl w:val="0"/>
        <w:autoSpaceDN w:val="0"/>
        <w:spacing w:line="600" w:lineRule="exact"/>
        <w:ind w:firstLine="640"/>
        <w:textAlignment w:val="center"/>
        <w:rPr>
          <w:rFonts w:hint="eastAsia"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3.围绕贯彻落实习近平总书记对学校思政课建设作出的重要指示精神，以及全国、全市新时代学校思政课建设推进会精神，深入研究如何同步推进思政课建设和党的创新理论武装，加快构建以习近平新时代中国特色社会主义思想为核心内容的课程教材体系，深入推进大中小学思政课一体化建设，以“大思政课”建设拓展全面育人新格局，充分发挥新时代伟大成就的教育激励作用，以中华优秀传统文化、革命文化和社会主义先进文化厚植思政课建设力量根基，建设高素质思政课教师队伍，拓展实践育人和网络育人空间和阵地，打造“红岩思政”育人品牌。</w:t>
      </w:r>
    </w:p>
    <w:p w14:paraId="11B04152">
      <w:pPr>
        <w:widowControl w:val="0"/>
        <w:autoSpaceDN w:val="0"/>
        <w:spacing w:line="600" w:lineRule="exact"/>
        <w:ind w:firstLine="640"/>
        <w:textAlignment w:val="center"/>
        <w:rPr>
          <w:rFonts w:hint="eastAsia"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（三）党建专项立项重点</w:t>
      </w:r>
    </w:p>
    <w:p w14:paraId="65C0488A">
      <w:pPr>
        <w:widowControl w:val="0"/>
        <w:autoSpaceDN w:val="0"/>
        <w:spacing w:line="600" w:lineRule="exact"/>
        <w:ind w:firstLine="640"/>
        <w:textAlignment w:val="center"/>
        <w:rPr>
          <w:rFonts w:hint="eastAsia"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1.深学笃用习近平新时代中国特色社会主义思想，贯彻落实新时代党的建设总要求和新时代党的组织路线，深入研究进一步加强和改进新时代高校党的政治、思想、组织、作风、纪律和制度建设，重点研究加强和改进党对高校的全面领导、落实全面从严治党责任、高校党委领导下的校长负责制、党建引领事业高质量发展、高素质专业化干部队伍建设、完善党的组织体系、制度体系、院（系）党组织作用发挥、基层党组织标准化规范化建设、新时代“红岩先锋”变革型组织建设、院（系）党组织书记队伍建设、党支部书记队伍建设、高层次人才队伍发展党员、教师党员先锋模范作用发挥及平台搭建、大学生党员先锋模范作用发挥及平台搭建、党员发展与教育管理、提升党组织组织力、加强和规范党内政治生活、强化党组织政治功能、中外合作办学党建、提高基层党建工作质量、严格执行党内监督制度、破解“一把手”监督难题、构建作风建设长效机制、加强监督执纪“四种形态”运用、廉政风险防控机制以及“互联网+党建”和智慧党建开发应用等问题。</w:t>
      </w:r>
    </w:p>
    <w:p w14:paraId="784A3014">
      <w:pPr>
        <w:widowControl w:val="0"/>
        <w:autoSpaceDN w:val="0"/>
        <w:spacing w:line="600" w:lineRule="exact"/>
        <w:ind w:firstLine="640"/>
        <w:textAlignment w:val="center"/>
        <w:rPr>
          <w:rFonts w:hint="eastAsia"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2.围绕高校统战工作中加强党外知识分子思想政治引领、党外代表人士队伍建设、民主党派和无党派人士工作、民族和宗教工作、出国和归国留学人员工作、网络统战工作等方面开展研究。</w:t>
      </w:r>
    </w:p>
    <w:p w14:paraId="75692C17">
      <w:pPr>
        <w:widowControl w:val="0"/>
        <w:autoSpaceDN w:val="0"/>
        <w:spacing w:line="600" w:lineRule="exact"/>
        <w:ind w:firstLine="640"/>
        <w:textAlignment w:val="center"/>
        <w:rPr>
          <w:rFonts w:hint="eastAsia" w:ascii="Times New Roman" w:hAnsi="Times New Roman" w:eastAsia="方正仿宋_GBK" w:cs="Times New Roman"/>
          <w:bCs/>
          <w:color w:val="000000" w:themeColor="text1"/>
          <w:kern w:val="0"/>
          <w:sz w:val="32"/>
          <w:szCs w:val="32"/>
          <w14:textFill>
            <w14:solidFill>
              <w14:schemeClr w14:val="tx1"/>
            </w14:solidFill>
          </w14:textFill>
        </w:r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（四）研究咨政专项立项重点</w:t>
      </w:r>
    </w:p>
    <w:p w14:paraId="7311DE7D">
      <w:pPr>
        <w:widowControl w:val="0"/>
        <w:autoSpaceDN w:val="0"/>
        <w:spacing w:line="600" w:lineRule="exact"/>
        <w:ind w:firstLine="640"/>
        <w:textAlignment w:val="center"/>
        <w:rPr>
          <w:rFonts w:hint="eastAsia" w:ascii="Times New Roman" w:hAnsi="Times New Roman" w:eastAsia="方正仿宋_GBK" w:cs="Times New Roman"/>
          <w:bCs/>
          <w:color w:val="000000" w:themeColor="text1"/>
          <w:kern w:val="0"/>
          <w:sz w:val="32"/>
          <w:szCs w:val="32"/>
          <w14:textFill>
            <w14:solidFill>
              <w14:schemeClr w14:val="tx1"/>
            </w14:solidFill>
          </w14:textFill>
        </w:rPr>
        <w:sectPr>
          <w:headerReference r:id="rId13" w:type="first"/>
          <w:footerReference r:id="rId16" w:type="first"/>
          <w:headerReference r:id="rId11" w:type="default"/>
          <w:footerReference r:id="rId14" w:type="default"/>
          <w:headerReference r:id="rId12" w:type="even"/>
          <w:footerReference r:id="rId15" w:type="even"/>
          <w:pgSz w:w="11906" w:h="16838"/>
          <w:pgMar w:top="1985" w:right="1446" w:bottom="1644" w:left="1446" w:header="851" w:footer="992" w:gutter="0"/>
          <w:cols w:space="425" w:num="1"/>
          <w:docGrid w:type="lines" w:linePitch="312" w:charSpace="0"/>
        </w:sectPr>
      </w:pPr>
      <w:r>
        <w:rPr>
          <w:rFonts w:hint="eastAsia" w:ascii="Times New Roman" w:hAnsi="Times New Roman" w:eastAsia="方正仿宋_GBK" w:cs="Times New Roman"/>
          <w:bCs/>
          <w:color w:val="000000" w:themeColor="text1"/>
          <w:kern w:val="0"/>
          <w:sz w:val="32"/>
          <w:szCs w:val="32"/>
          <w14:textFill>
            <w14:solidFill>
              <w14:schemeClr w14:val="tx1"/>
            </w14:solidFill>
          </w14:textFill>
        </w:rPr>
        <w:t>围绕教育决策需求，针对当前我市教育事业改革发展中亟待解决的重点、难点问题开展应用对策研究，为市委教育工委、市教委提供确有参考价值的咨政建言成果（具体选题见附件3）。研究咨政专项课题成果一般不公开发表，确需公开发表的成果、数据等须报业务主管部门审核同意后方可公开。获得市级以上领导批示肯定或被市教委采纳等情况将作为结题验收的重要依据。</w:t>
      </w:r>
    </w:p>
    <w:p w14:paraId="265F184B">
      <w:pPr>
        <w:keepNext w:val="0"/>
        <w:keepLines w:val="0"/>
        <w:pageBreakBefore w:val="0"/>
        <w:widowControl w:val="0"/>
        <w:kinsoku/>
        <w:wordWrap/>
        <w:overflowPunct/>
        <w:topLinePunct w:val="0"/>
        <w:autoSpaceDE/>
        <w:autoSpaceDN/>
        <w:bidi w:val="0"/>
        <w:adjustRightInd/>
        <w:snapToGrid/>
        <w:spacing w:after="313" w:afterLines="100" w:line="380" w:lineRule="exact"/>
        <w:jc w:val="center"/>
        <w:textAlignment w:val="auto"/>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重庆财经学院科研团队/平台名册</w:t>
      </w:r>
    </w:p>
    <w:p w14:paraId="241D7352">
      <w:pPr>
        <w:keepNext w:val="0"/>
        <w:keepLines w:val="0"/>
        <w:pageBreakBefore w:val="0"/>
        <w:widowControl w:val="0"/>
        <w:numPr>
          <w:ilvl w:val="0"/>
          <w:numId w:val="2"/>
        </w:numPr>
        <w:kinsoku/>
        <w:wordWrap/>
        <w:overflowPunct/>
        <w:topLinePunct w:val="0"/>
        <w:autoSpaceDE/>
        <w:autoSpaceDN/>
        <w:bidi w:val="0"/>
        <w:adjustRightInd/>
        <w:snapToGrid/>
        <w:spacing w:before="63" w:beforeLines="20" w:after="63" w:afterLines="20" w:line="380" w:lineRule="exact"/>
        <w:ind w:left="0" w:leftChars="0" w:firstLine="562" w:firstLineChars="200"/>
        <w:textAlignment w:val="auto"/>
        <w:rPr>
          <w:rFonts w:hint="default" w:ascii="仿宋" w:hAnsi="仿宋" w:eastAsia="仿宋" w:cs="仿宋"/>
          <w:b/>
          <w:bCs/>
          <w:sz w:val="28"/>
          <w:szCs w:val="36"/>
          <w:lang w:val="en-US" w:eastAsia="zh-CN"/>
        </w:rPr>
      </w:pPr>
      <w:r>
        <w:rPr>
          <w:rFonts w:hint="eastAsia" w:ascii="仿宋" w:hAnsi="仿宋" w:eastAsia="仿宋" w:cs="仿宋"/>
          <w:b/>
          <w:bCs/>
          <w:sz w:val="28"/>
          <w:szCs w:val="36"/>
          <w:lang w:val="en-US" w:eastAsia="zh-CN"/>
        </w:rPr>
        <w:t>市级科研团队</w:t>
      </w:r>
    </w:p>
    <w:p w14:paraId="7E479986">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b w:val="0"/>
          <w:bCs w:val="0"/>
          <w:sz w:val="24"/>
          <w:szCs w:val="32"/>
          <w:lang w:val="en-US" w:eastAsia="zh-CN"/>
        </w:rPr>
      </w:pPr>
      <w:r>
        <w:rPr>
          <w:rFonts w:hint="eastAsia" w:ascii="仿宋" w:hAnsi="仿宋" w:eastAsia="仿宋" w:cs="仿宋"/>
          <w:b w:val="0"/>
          <w:bCs w:val="0"/>
          <w:sz w:val="24"/>
          <w:szCs w:val="32"/>
          <w:lang w:val="en-US" w:eastAsia="zh-CN"/>
        </w:rPr>
        <w:t>1.全域绿色高质量发展跨学科研究团队</w:t>
      </w:r>
    </w:p>
    <w:p w14:paraId="34C180E9">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b w:val="0"/>
          <w:bCs w:val="0"/>
          <w:sz w:val="24"/>
          <w:szCs w:val="32"/>
          <w:lang w:val="en-US" w:eastAsia="zh-CN"/>
        </w:rPr>
      </w:pPr>
      <w:r>
        <w:rPr>
          <w:rFonts w:hint="eastAsia" w:ascii="仿宋" w:hAnsi="仿宋" w:eastAsia="仿宋" w:cs="仿宋"/>
          <w:b w:val="0"/>
          <w:bCs w:val="0"/>
          <w:sz w:val="24"/>
          <w:szCs w:val="32"/>
          <w:lang w:val="en-US" w:eastAsia="zh-CN"/>
        </w:rPr>
        <w:t>2.生态环境时空大数据挖掘创新研究群体</w:t>
      </w:r>
    </w:p>
    <w:p w14:paraId="584F020D">
      <w:pPr>
        <w:keepNext w:val="0"/>
        <w:keepLines w:val="0"/>
        <w:pageBreakBefore w:val="0"/>
        <w:widowControl w:val="0"/>
        <w:numPr>
          <w:ilvl w:val="0"/>
          <w:numId w:val="2"/>
        </w:numPr>
        <w:kinsoku/>
        <w:wordWrap/>
        <w:overflowPunct/>
        <w:topLinePunct w:val="0"/>
        <w:autoSpaceDE/>
        <w:autoSpaceDN/>
        <w:bidi w:val="0"/>
        <w:adjustRightInd/>
        <w:snapToGrid/>
        <w:spacing w:before="63" w:beforeLines="20" w:after="63" w:afterLines="20" w:line="380" w:lineRule="exact"/>
        <w:ind w:left="0" w:leftChars="0" w:firstLine="562" w:firstLineChars="200"/>
        <w:textAlignment w:val="auto"/>
        <w:rPr>
          <w:rFonts w:hint="eastAsia" w:ascii="仿宋" w:hAnsi="仿宋" w:eastAsia="仿宋" w:cs="仿宋"/>
          <w:b/>
          <w:bCs/>
          <w:sz w:val="28"/>
          <w:szCs w:val="36"/>
          <w:lang w:val="en-US" w:eastAsia="zh-CN"/>
        </w:rPr>
      </w:pPr>
      <w:r>
        <w:rPr>
          <w:rFonts w:hint="eastAsia" w:ascii="仿宋" w:hAnsi="仿宋" w:eastAsia="仿宋" w:cs="仿宋"/>
          <w:b/>
          <w:bCs/>
          <w:sz w:val="28"/>
          <w:szCs w:val="36"/>
          <w:lang w:val="en-US" w:eastAsia="zh-CN"/>
        </w:rPr>
        <w:t>校级科研团队</w:t>
      </w:r>
    </w:p>
    <w:p w14:paraId="58861ED7">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b w:val="0"/>
          <w:bCs w:val="0"/>
          <w:sz w:val="24"/>
          <w:szCs w:val="32"/>
          <w:lang w:val="en-US" w:eastAsia="zh-CN"/>
        </w:rPr>
      </w:pPr>
      <w:r>
        <w:rPr>
          <w:rFonts w:hint="eastAsia" w:ascii="仿宋" w:hAnsi="仿宋" w:eastAsia="仿宋" w:cs="仿宋"/>
          <w:b w:val="0"/>
          <w:bCs w:val="0"/>
          <w:sz w:val="24"/>
          <w:szCs w:val="32"/>
          <w:lang w:val="en-US" w:eastAsia="zh-CN"/>
        </w:rPr>
        <w:t>1.生态评价与资源环境项目管理（创新团队）</w:t>
      </w:r>
    </w:p>
    <w:p w14:paraId="034D48BD">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b w:val="0"/>
          <w:bCs w:val="0"/>
          <w:sz w:val="24"/>
          <w:szCs w:val="32"/>
          <w:highlight w:val="none"/>
          <w:lang w:val="en-US" w:eastAsia="zh-CN"/>
        </w:rPr>
      </w:pPr>
      <w:r>
        <w:rPr>
          <w:rFonts w:hint="eastAsia" w:ascii="仿宋" w:hAnsi="仿宋" w:eastAsia="仿宋" w:cs="仿宋"/>
          <w:b w:val="0"/>
          <w:bCs w:val="0"/>
          <w:sz w:val="24"/>
          <w:szCs w:val="32"/>
          <w:highlight w:val="none"/>
          <w:lang w:val="en-US" w:eastAsia="zh-CN"/>
        </w:rPr>
        <w:t>2.信用科技与金融风险管理（创新团队）</w:t>
      </w:r>
    </w:p>
    <w:p w14:paraId="6DC2A2D5">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b w:val="0"/>
          <w:bCs w:val="0"/>
          <w:sz w:val="24"/>
          <w:szCs w:val="32"/>
          <w:highlight w:val="none"/>
          <w:lang w:val="en-US" w:eastAsia="zh-CN"/>
        </w:rPr>
      </w:pPr>
      <w:r>
        <w:rPr>
          <w:rFonts w:hint="eastAsia" w:ascii="仿宋" w:hAnsi="仿宋" w:eastAsia="仿宋" w:cs="仿宋"/>
          <w:b w:val="0"/>
          <w:bCs w:val="0"/>
          <w:sz w:val="24"/>
          <w:szCs w:val="32"/>
          <w:highlight w:val="none"/>
          <w:lang w:val="en-US" w:eastAsia="zh-CN"/>
        </w:rPr>
        <w:t>3.产业生态集聚与区域绿色统计（创新团队）</w:t>
      </w:r>
    </w:p>
    <w:p w14:paraId="663C4E31">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b w:val="0"/>
          <w:bCs w:val="0"/>
          <w:sz w:val="24"/>
          <w:szCs w:val="32"/>
          <w:highlight w:val="none"/>
          <w:lang w:val="en-US" w:eastAsia="zh-CN"/>
        </w:rPr>
      </w:pPr>
      <w:r>
        <w:rPr>
          <w:rFonts w:hint="eastAsia" w:ascii="仿宋" w:hAnsi="仿宋" w:eastAsia="仿宋" w:cs="仿宋"/>
          <w:b w:val="0"/>
          <w:bCs w:val="0"/>
          <w:sz w:val="24"/>
          <w:szCs w:val="32"/>
          <w:highlight w:val="none"/>
          <w:lang w:val="en-US" w:eastAsia="zh-CN"/>
        </w:rPr>
        <w:t>4.物流与供应链管理（培育团队）</w:t>
      </w:r>
    </w:p>
    <w:p w14:paraId="00095F81">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b w:val="0"/>
          <w:bCs w:val="0"/>
          <w:sz w:val="24"/>
          <w:szCs w:val="32"/>
          <w:highlight w:val="none"/>
          <w:lang w:val="en-US" w:eastAsia="zh-CN"/>
        </w:rPr>
      </w:pPr>
      <w:r>
        <w:rPr>
          <w:rFonts w:hint="eastAsia" w:ascii="仿宋" w:hAnsi="仿宋" w:eastAsia="仿宋" w:cs="仿宋"/>
          <w:b w:val="0"/>
          <w:bCs w:val="0"/>
          <w:sz w:val="24"/>
          <w:szCs w:val="32"/>
          <w:highlight w:val="none"/>
          <w:lang w:val="en-US" w:eastAsia="zh-CN"/>
        </w:rPr>
        <w:t>5.大数据金融与监管科技（培育团队）</w:t>
      </w:r>
    </w:p>
    <w:p w14:paraId="54591E1C">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b w:val="0"/>
          <w:bCs w:val="0"/>
          <w:sz w:val="24"/>
          <w:szCs w:val="32"/>
          <w:highlight w:val="none"/>
          <w:lang w:val="en-US" w:eastAsia="zh-CN"/>
        </w:rPr>
      </w:pPr>
      <w:r>
        <w:rPr>
          <w:rFonts w:hint="eastAsia" w:ascii="仿宋" w:hAnsi="仿宋" w:eastAsia="仿宋" w:cs="仿宋"/>
          <w:b w:val="0"/>
          <w:bCs w:val="0"/>
          <w:sz w:val="24"/>
          <w:szCs w:val="32"/>
          <w:highlight w:val="none"/>
          <w:lang w:val="en-US" w:eastAsia="zh-CN"/>
        </w:rPr>
        <w:t>6.要素流动与乡村振兴分析（培育团队）</w:t>
      </w:r>
    </w:p>
    <w:p w14:paraId="2181B3B3">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b w:val="0"/>
          <w:bCs w:val="0"/>
          <w:sz w:val="24"/>
          <w:szCs w:val="32"/>
          <w:highlight w:val="none"/>
          <w:lang w:val="en-US" w:eastAsia="zh-CN"/>
        </w:rPr>
      </w:pPr>
      <w:r>
        <w:rPr>
          <w:rFonts w:hint="eastAsia" w:ascii="仿宋" w:hAnsi="仿宋" w:eastAsia="仿宋" w:cs="仿宋"/>
          <w:b w:val="0"/>
          <w:bCs w:val="0"/>
          <w:sz w:val="24"/>
          <w:szCs w:val="32"/>
          <w:highlight w:val="none"/>
          <w:lang w:val="en-US" w:eastAsia="zh-CN"/>
        </w:rPr>
        <w:t>7.智能财税（培育团队）</w:t>
      </w:r>
    </w:p>
    <w:p w14:paraId="3A765832">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b w:val="0"/>
          <w:bCs w:val="0"/>
          <w:sz w:val="24"/>
          <w:szCs w:val="32"/>
          <w:highlight w:val="none"/>
          <w:lang w:val="en-US" w:eastAsia="zh-CN"/>
        </w:rPr>
      </w:pPr>
      <w:r>
        <w:rPr>
          <w:rFonts w:hint="eastAsia" w:ascii="仿宋" w:hAnsi="仿宋" w:eastAsia="仿宋" w:cs="仿宋"/>
          <w:b w:val="0"/>
          <w:bCs w:val="0"/>
          <w:sz w:val="24"/>
          <w:szCs w:val="32"/>
          <w:highlight w:val="none"/>
          <w:lang w:val="en-US" w:eastAsia="zh-CN"/>
        </w:rPr>
        <w:t>8.智慧会展与数字文创(后备团队）</w:t>
      </w:r>
    </w:p>
    <w:p w14:paraId="682A446E">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b w:val="0"/>
          <w:bCs w:val="0"/>
          <w:sz w:val="24"/>
          <w:szCs w:val="32"/>
          <w:highlight w:val="none"/>
          <w:lang w:val="en-US" w:eastAsia="zh-CN"/>
        </w:rPr>
      </w:pPr>
      <w:r>
        <w:rPr>
          <w:rFonts w:hint="eastAsia" w:ascii="仿宋" w:hAnsi="仿宋" w:eastAsia="仿宋" w:cs="仿宋"/>
          <w:b w:val="0"/>
          <w:bCs w:val="0"/>
          <w:sz w:val="24"/>
          <w:szCs w:val="32"/>
          <w:highlight w:val="none"/>
          <w:lang w:val="en-US" w:eastAsia="zh-CN"/>
        </w:rPr>
        <w:t>9.绿色金融与“双碳”战略(后备团队）</w:t>
      </w:r>
    </w:p>
    <w:p w14:paraId="0E6357FA">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b/>
          <w:bCs/>
          <w:sz w:val="24"/>
          <w:szCs w:val="32"/>
          <w:lang w:val="en-US" w:eastAsia="zh-CN"/>
        </w:rPr>
      </w:pPr>
      <w:r>
        <w:rPr>
          <w:rFonts w:hint="eastAsia" w:ascii="仿宋" w:hAnsi="仿宋" w:eastAsia="仿宋" w:cs="仿宋"/>
          <w:b w:val="0"/>
          <w:bCs w:val="0"/>
          <w:sz w:val="24"/>
          <w:szCs w:val="32"/>
          <w:lang w:val="en-US" w:eastAsia="zh-CN"/>
        </w:rPr>
        <w:t>10.国际化财税(后备团队）</w:t>
      </w:r>
    </w:p>
    <w:p w14:paraId="65A40A59">
      <w:pPr>
        <w:keepNext w:val="0"/>
        <w:keepLines w:val="0"/>
        <w:pageBreakBefore w:val="0"/>
        <w:widowControl w:val="0"/>
        <w:numPr>
          <w:ilvl w:val="0"/>
          <w:numId w:val="2"/>
        </w:numPr>
        <w:kinsoku/>
        <w:wordWrap/>
        <w:overflowPunct/>
        <w:topLinePunct w:val="0"/>
        <w:autoSpaceDE/>
        <w:autoSpaceDN/>
        <w:bidi w:val="0"/>
        <w:adjustRightInd/>
        <w:snapToGrid/>
        <w:spacing w:before="63" w:beforeLines="20" w:after="63" w:afterLines="20" w:line="380" w:lineRule="exact"/>
        <w:ind w:left="0" w:leftChars="0" w:firstLine="562" w:firstLineChars="200"/>
        <w:textAlignment w:val="auto"/>
        <w:rPr>
          <w:rFonts w:hint="eastAsia" w:ascii="仿宋" w:hAnsi="仿宋" w:eastAsia="仿宋" w:cs="仿宋"/>
          <w:b/>
          <w:bCs/>
          <w:sz w:val="28"/>
          <w:szCs w:val="36"/>
          <w:lang w:val="en-US" w:eastAsia="zh-CN"/>
        </w:rPr>
      </w:pPr>
      <w:r>
        <w:rPr>
          <w:rFonts w:hint="eastAsia" w:ascii="仿宋" w:hAnsi="仿宋" w:eastAsia="仿宋" w:cs="仿宋"/>
          <w:b/>
          <w:bCs/>
          <w:sz w:val="28"/>
          <w:szCs w:val="36"/>
          <w:lang w:val="en-US" w:eastAsia="zh-CN"/>
        </w:rPr>
        <w:t>校级智库团队</w:t>
      </w:r>
    </w:p>
    <w:p w14:paraId="4F0D5EE5">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b w:val="0"/>
          <w:bCs w:val="0"/>
          <w:sz w:val="24"/>
          <w:szCs w:val="32"/>
          <w:lang w:val="en-US" w:eastAsia="zh-CN"/>
        </w:rPr>
      </w:pPr>
      <w:r>
        <w:rPr>
          <w:rFonts w:hint="eastAsia" w:ascii="仿宋" w:hAnsi="仿宋" w:eastAsia="仿宋" w:cs="仿宋"/>
          <w:b w:val="0"/>
          <w:bCs w:val="0"/>
          <w:sz w:val="24"/>
          <w:szCs w:val="32"/>
          <w:lang w:val="en-US" w:eastAsia="zh-CN"/>
        </w:rPr>
        <w:t>1.研究方向：生态环境评价方向</w:t>
      </w:r>
    </w:p>
    <w:p w14:paraId="57EF11F7">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b w:val="0"/>
          <w:bCs w:val="0"/>
          <w:sz w:val="24"/>
          <w:szCs w:val="32"/>
          <w:lang w:val="en-US" w:eastAsia="zh-CN"/>
        </w:rPr>
      </w:pPr>
      <w:r>
        <w:rPr>
          <w:rFonts w:hint="eastAsia" w:ascii="仿宋" w:hAnsi="仿宋" w:eastAsia="仿宋" w:cs="仿宋"/>
          <w:b w:val="0"/>
          <w:bCs w:val="0"/>
          <w:sz w:val="24"/>
          <w:szCs w:val="32"/>
          <w:lang w:val="en-US" w:eastAsia="zh-CN"/>
        </w:rPr>
        <w:t>2.研究方向：供应链管理方向</w:t>
      </w:r>
    </w:p>
    <w:p w14:paraId="5C52BD19">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b w:val="0"/>
          <w:bCs w:val="0"/>
          <w:sz w:val="24"/>
          <w:szCs w:val="32"/>
          <w:lang w:val="en-US" w:eastAsia="zh-CN"/>
        </w:rPr>
      </w:pPr>
      <w:r>
        <w:rPr>
          <w:rFonts w:hint="eastAsia" w:ascii="仿宋" w:hAnsi="仿宋" w:eastAsia="仿宋" w:cs="仿宋"/>
          <w:b w:val="0"/>
          <w:bCs w:val="0"/>
          <w:sz w:val="24"/>
          <w:szCs w:val="32"/>
          <w:lang w:val="en-US" w:eastAsia="zh-CN"/>
        </w:rPr>
        <w:t>3.研究方向：绿色金融、金融风险管理、信用科技、大数据金融</w:t>
      </w:r>
    </w:p>
    <w:p w14:paraId="1217391A">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b w:val="0"/>
          <w:bCs w:val="0"/>
          <w:sz w:val="24"/>
          <w:szCs w:val="32"/>
          <w:lang w:val="en-US" w:eastAsia="zh-CN"/>
        </w:rPr>
      </w:pPr>
      <w:r>
        <w:rPr>
          <w:rFonts w:hint="eastAsia" w:ascii="仿宋" w:hAnsi="仿宋" w:eastAsia="仿宋" w:cs="仿宋"/>
          <w:b w:val="0"/>
          <w:bCs w:val="0"/>
          <w:sz w:val="24"/>
          <w:szCs w:val="32"/>
          <w:lang w:val="en-US" w:eastAsia="zh-CN"/>
        </w:rPr>
        <w:t>4.研究方向：“两化”测度与绿色统计分析、产业互联网与工业大数据分析、城乡人口流动与乡村振兴统计监测分析</w:t>
      </w:r>
    </w:p>
    <w:p w14:paraId="790DA28B">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b w:val="0"/>
          <w:bCs w:val="0"/>
          <w:sz w:val="24"/>
          <w:szCs w:val="32"/>
          <w:lang w:val="en-US" w:eastAsia="zh-CN"/>
        </w:rPr>
      </w:pPr>
      <w:r>
        <w:rPr>
          <w:rFonts w:hint="eastAsia" w:ascii="仿宋" w:hAnsi="仿宋" w:eastAsia="仿宋" w:cs="仿宋"/>
          <w:b w:val="0"/>
          <w:bCs w:val="0"/>
          <w:sz w:val="24"/>
          <w:szCs w:val="32"/>
          <w:lang w:val="en-US" w:eastAsia="zh-CN"/>
        </w:rPr>
        <w:t>5.研究方向：财务会计、内部控制与审计、纳税筹划、财务管理、会计信息</w:t>
      </w:r>
    </w:p>
    <w:p w14:paraId="2CBE0C45">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b w:val="0"/>
          <w:bCs w:val="0"/>
          <w:sz w:val="24"/>
          <w:szCs w:val="32"/>
          <w:lang w:val="en-US" w:eastAsia="zh-CN"/>
        </w:rPr>
      </w:pPr>
      <w:r>
        <w:rPr>
          <w:rFonts w:hint="eastAsia" w:ascii="仿宋" w:hAnsi="仿宋" w:eastAsia="仿宋" w:cs="仿宋"/>
          <w:b w:val="0"/>
          <w:bCs w:val="0"/>
          <w:sz w:val="24"/>
          <w:szCs w:val="32"/>
          <w:lang w:val="en-US" w:eastAsia="zh-CN"/>
        </w:rPr>
        <w:t>系统</w:t>
      </w:r>
    </w:p>
    <w:p w14:paraId="5028929F">
      <w:pPr>
        <w:keepNext w:val="0"/>
        <w:keepLines w:val="0"/>
        <w:pageBreakBefore w:val="0"/>
        <w:widowControl w:val="0"/>
        <w:numPr>
          <w:ilvl w:val="0"/>
          <w:numId w:val="2"/>
        </w:numPr>
        <w:kinsoku/>
        <w:wordWrap/>
        <w:overflowPunct/>
        <w:topLinePunct w:val="0"/>
        <w:autoSpaceDE/>
        <w:autoSpaceDN/>
        <w:bidi w:val="0"/>
        <w:adjustRightInd/>
        <w:snapToGrid/>
        <w:spacing w:before="63" w:beforeLines="20" w:after="63" w:afterLines="20" w:line="380" w:lineRule="exact"/>
        <w:ind w:left="0" w:leftChars="0" w:firstLine="562" w:firstLineChars="200"/>
        <w:textAlignment w:val="auto"/>
        <w:rPr>
          <w:rFonts w:hint="eastAsia" w:ascii="仿宋" w:hAnsi="仿宋" w:eastAsia="仿宋" w:cs="仿宋"/>
          <w:b/>
          <w:bCs/>
          <w:sz w:val="28"/>
          <w:szCs w:val="36"/>
          <w:lang w:val="en-US" w:eastAsia="zh-CN"/>
        </w:rPr>
      </w:pPr>
      <w:r>
        <w:rPr>
          <w:rFonts w:hint="eastAsia" w:ascii="仿宋" w:hAnsi="仿宋" w:eastAsia="仿宋" w:cs="仿宋"/>
          <w:b/>
          <w:bCs/>
          <w:sz w:val="28"/>
          <w:szCs w:val="36"/>
          <w:lang w:val="en-US" w:eastAsia="zh-CN"/>
        </w:rPr>
        <w:t>重庆市重点实验室</w:t>
      </w:r>
    </w:p>
    <w:p w14:paraId="04062676">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仿宋" w:hAnsi="仿宋" w:eastAsia="仿宋" w:cs="仿宋"/>
          <w:b w:val="0"/>
          <w:bCs w:val="0"/>
          <w:sz w:val="24"/>
          <w:szCs w:val="32"/>
          <w:lang w:val="en-US" w:eastAsia="zh-CN"/>
        </w:rPr>
      </w:pPr>
      <w:r>
        <w:rPr>
          <w:rFonts w:hint="eastAsia" w:ascii="仿宋" w:hAnsi="仿宋" w:eastAsia="仿宋" w:cs="仿宋"/>
          <w:b w:val="0"/>
          <w:bCs w:val="0"/>
          <w:sz w:val="24"/>
          <w:szCs w:val="32"/>
          <w:lang w:val="en-US" w:eastAsia="zh-CN"/>
        </w:rPr>
        <w:t>生态环境数据挖掘与集成应用重庆市重点实验室</w:t>
      </w:r>
    </w:p>
    <w:p w14:paraId="29762854">
      <w:pPr>
        <w:keepNext w:val="0"/>
        <w:keepLines w:val="0"/>
        <w:pageBreakBefore w:val="0"/>
        <w:widowControl w:val="0"/>
        <w:numPr>
          <w:ilvl w:val="0"/>
          <w:numId w:val="2"/>
        </w:numPr>
        <w:kinsoku/>
        <w:wordWrap/>
        <w:overflowPunct/>
        <w:topLinePunct w:val="0"/>
        <w:autoSpaceDE/>
        <w:autoSpaceDN/>
        <w:bidi w:val="0"/>
        <w:adjustRightInd/>
        <w:snapToGrid/>
        <w:spacing w:before="63" w:beforeLines="20" w:after="63" w:afterLines="20" w:line="380" w:lineRule="exact"/>
        <w:ind w:left="0" w:leftChars="0" w:firstLine="562" w:firstLineChars="200"/>
        <w:textAlignment w:val="auto"/>
        <w:rPr>
          <w:rFonts w:hint="default" w:ascii="仿宋" w:hAnsi="仿宋" w:eastAsia="仿宋" w:cs="仿宋"/>
          <w:b/>
          <w:bCs/>
          <w:sz w:val="28"/>
          <w:szCs w:val="36"/>
          <w:lang w:val="en-US" w:eastAsia="zh-CN"/>
        </w:rPr>
      </w:pPr>
      <w:r>
        <w:rPr>
          <w:rFonts w:hint="eastAsia" w:ascii="仿宋" w:hAnsi="仿宋" w:eastAsia="仿宋" w:cs="仿宋"/>
          <w:b/>
          <w:bCs/>
          <w:sz w:val="28"/>
          <w:szCs w:val="36"/>
          <w:lang w:val="en-US" w:eastAsia="zh-CN"/>
        </w:rPr>
        <w:t>重庆市教育科研实验基地</w:t>
      </w:r>
    </w:p>
    <w:p w14:paraId="7DD1D36B">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b w:val="0"/>
          <w:bCs w:val="0"/>
          <w:sz w:val="24"/>
          <w:szCs w:val="32"/>
          <w:lang w:val="en-US" w:eastAsia="zh-CN"/>
        </w:rPr>
      </w:pPr>
      <w:r>
        <w:rPr>
          <w:rFonts w:hint="eastAsia" w:ascii="仿宋" w:hAnsi="仿宋" w:eastAsia="仿宋" w:cs="仿宋"/>
          <w:b w:val="0"/>
          <w:bCs w:val="0"/>
          <w:sz w:val="24"/>
          <w:szCs w:val="32"/>
          <w:lang w:val="en-US" w:eastAsia="zh-CN"/>
        </w:rPr>
        <w:t>现代产业学院创新实践基地（高等教育类）</w:t>
      </w:r>
    </w:p>
    <w:p w14:paraId="3EFF6992">
      <w:pPr>
        <w:keepNext w:val="0"/>
        <w:keepLines w:val="0"/>
        <w:pageBreakBefore w:val="0"/>
        <w:widowControl w:val="0"/>
        <w:numPr>
          <w:ilvl w:val="0"/>
          <w:numId w:val="2"/>
        </w:numPr>
        <w:kinsoku/>
        <w:wordWrap/>
        <w:overflowPunct/>
        <w:topLinePunct w:val="0"/>
        <w:autoSpaceDE/>
        <w:autoSpaceDN/>
        <w:bidi w:val="0"/>
        <w:adjustRightInd/>
        <w:snapToGrid/>
        <w:spacing w:before="63" w:beforeLines="20" w:after="63" w:afterLines="20" w:line="380" w:lineRule="exact"/>
        <w:ind w:left="0" w:leftChars="0" w:firstLine="562" w:firstLineChars="200"/>
        <w:textAlignment w:val="auto"/>
        <w:rPr>
          <w:rFonts w:hint="eastAsia" w:ascii="仿宋" w:hAnsi="仿宋" w:eastAsia="仿宋" w:cs="仿宋"/>
          <w:b/>
          <w:bCs/>
          <w:sz w:val="28"/>
          <w:szCs w:val="36"/>
          <w:lang w:val="en-US" w:eastAsia="zh-CN"/>
        </w:rPr>
      </w:pPr>
      <w:r>
        <w:rPr>
          <w:rFonts w:hint="eastAsia" w:ascii="仿宋" w:hAnsi="仿宋" w:eastAsia="仿宋" w:cs="仿宋"/>
          <w:b/>
          <w:bCs/>
          <w:sz w:val="28"/>
          <w:szCs w:val="36"/>
          <w:lang w:val="en-US" w:eastAsia="zh-CN"/>
        </w:rPr>
        <w:t>科研平台</w:t>
      </w:r>
    </w:p>
    <w:p w14:paraId="16ABF45A">
      <w:pPr>
        <w:keepNext w:val="0"/>
        <w:keepLines w:val="0"/>
        <w:pageBreakBefore w:val="0"/>
        <w:widowControl w:val="0"/>
        <w:numPr>
          <w:ilvl w:val="0"/>
          <w:numId w:val="3"/>
        </w:numPr>
        <w:kinsoku/>
        <w:wordWrap/>
        <w:overflowPunct/>
        <w:topLinePunct w:val="0"/>
        <w:autoSpaceDE/>
        <w:autoSpaceDN/>
        <w:bidi w:val="0"/>
        <w:adjustRightInd/>
        <w:snapToGrid/>
        <w:spacing w:line="380" w:lineRule="exact"/>
        <w:textAlignment w:val="auto"/>
        <w:rPr>
          <w:rFonts w:hint="eastAsia" w:ascii="仿宋" w:hAnsi="仿宋" w:eastAsia="仿宋" w:cs="仿宋"/>
          <w:b w:val="0"/>
          <w:bCs w:val="0"/>
          <w:sz w:val="24"/>
          <w:szCs w:val="32"/>
          <w:lang w:val="en-US" w:eastAsia="zh-CN"/>
        </w:rPr>
      </w:pPr>
      <w:r>
        <w:rPr>
          <w:rFonts w:hint="eastAsia" w:ascii="仿宋" w:hAnsi="仿宋" w:eastAsia="仿宋" w:cs="仿宋"/>
          <w:b w:val="0"/>
          <w:bCs w:val="0"/>
          <w:sz w:val="24"/>
          <w:szCs w:val="32"/>
          <w:lang w:val="en-US" w:eastAsia="zh-CN"/>
        </w:rPr>
        <w:t>绿色发展研究院</w:t>
      </w:r>
    </w:p>
    <w:p w14:paraId="59F7DF9A">
      <w:pPr>
        <w:keepNext w:val="0"/>
        <w:keepLines w:val="0"/>
        <w:pageBreakBefore w:val="0"/>
        <w:widowControl w:val="0"/>
        <w:numPr>
          <w:ilvl w:val="0"/>
          <w:numId w:val="3"/>
        </w:numPr>
        <w:kinsoku/>
        <w:wordWrap/>
        <w:overflowPunct/>
        <w:topLinePunct w:val="0"/>
        <w:autoSpaceDE/>
        <w:autoSpaceDN/>
        <w:bidi w:val="0"/>
        <w:adjustRightInd/>
        <w:snapToGrid/>
        <w:spacing w:line="380" w:lineRule="exact"/>
        <w:textAlignment w:val="auto"/>
        <w:rPr>
          <w:rFonts w:hint="default" w:ascii="仿宋" w:hAnsi="仿宋" w:eastAsia="仿宋" w:cs="仿宋"/>
          <w:b w:val="0"/>
          <w:bCs w:val="0"/>
          <w:sz w:val="24"/>
          <w:szCs w:val="32"/>
          <w:lang w:val="en-US" w:eastAsia="zh-CN"/>
        </w:rPr>
      </w:pPr>
      <w:r>
        <w:rPr>
          <w:rFonts w:hint="default" w:ascii="仿宋" w:hAnsi="仿宋" w:eastAsia="仿宋" w:cs="仿宋"/>
          <w:b w:val="0"/>
          <w:bCs w:val="0"/>
          <w:sz w:val="24"/>
          <w:szCs w:val="32"/>
          <w:lang w:val="en-US" w:eastAsia="zh-CN"/>
        </w:rPr>
        <w:t>长江会展研究院</w:t>
      </w:r>
    </w:p>
    <w:p w14:paraId="61D6F5D5">
      <w:pPr>
        <w:keepNext w:val="0"/>
        <w:keepLines w:val="0"/>
        <w:pageBreakBefore w:val="0"/>
        <w:widowControl w:val="0"/>
        <w:numPr>
          <w:ilvl w:val="0"/>
          <w:numId w:val="3"/>
        </w:numPr>
        <w:kinsoku/>
        <w:wordWrap/>
        <w:overflowPunct/>
        <w:topLinePunct w:val="0"/>
        <w:autoSpaceDE/>
        <w:autoSpaceDN/>
        <w:bidi w:val="0"/>
        <w:adjustRightInd/>
        <w:snapToGrid/>
        <w:spacing w:line="380" w:lineRule="exact"/>
        <w:textAlignment w:val="auto"/>
        <w:rPr>
          <w:rFonts w:ascii="Times New Roman" w:hAnsi="Times New Roman" w:eastAsia="方正仿宋_GBK" w:cs="Times New Roman"/>
          <w:bCs/>
          <w:color w:val="000000" w:themeColor="text1"/>
          <w:kern w:val="0"/>
          <w:sz w:val="32"/>
          <w:szCs w:val="32"/>
          <w14:textFill>
            <w14:solidFill>
              <w14:schemeClr w14:val="tx1"/>
            </w14:solidFill>
          </w14:textFill>
        </w:rPr>
      </w:pPr>
      <w:r>
        <w:rPr>
          <w:rFonts w:hint="default" w:ascii="仿宋" w:hAnsi="仿宋" w:eastAsia="仿宋" w:cs="仿宋"/>
          <w:b w:val="0"/>
          <w:bCs w:val="0"/>
          <w:sz w:val="24"/>
          <w:szCs w:val="32"/>
          <w:lang w:val="en-US" w:eastAsia="zh-CN"/>
        </w:rPr>
        <w:t>国别与通道经济研究院</w:t>
      </w:r>
      <w:bookmarkStart w:id="0" w:name="_GoBack"/>
      <w:bookmarkEnd w:id="0"/>
    </w:p>
    <w:sectPr>
      <w:headerReference r:id="rId17" w:type="default"/>
      <w:footerReference r:id="rId18" w:type="default"/>
      <w:pgSz w:w="11906" w:h="16838"/>
      <w:pgMar w:top="1985" w:right="1446" w:bottom="1644" w:left="1446"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方正黑体_GBK"/>
    <w:panose1 w:val="02010600030101010101"/>
    <w:charset w:val="86"/>
    <w:family w:val="auto"/>
    <w:pitch w:val="default"/>
    <w:sig w:usb0="00000000" w:usb1="00000000" w:usb2="00000016" w:usb3="00000000" w:csb0="0004000F" w:csb1="00000000"/>
  </w:font>
  <w:font w:name="方正黑体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78504">
    <w:pPr>
      <w:pStyle w:val="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1490D">
    <w:pPr>
      <w:pStyle w:val="3"/>
      <w:framePr w:wrap="around" w:vAnchor="text" w:hAnchor="margin" w:xAlign="center" w:y="1"/>
      <w:ind w:firstLine="360"/>
      <w:rPr>
        <w:rStyle w:val="8"/>
      </w:rPr>
    </w:pPr>
    <w:r>
      <w:fldChar w:fldCharType="begin"/>
    </w:r>
    <w:r>
      <w:rPr>
        <w:rStyle w:val="8"/>
      </w:rPr>
      <w:instrText xml:space="preserve">PAGE  </w:instrText>
    </w:r>
    <w:r>
      <w:fldChar w:fldCharType="separate"/>
    </w:r>
    <w:r>
      <w:rPr>
        <w:rStyle w:val="8"/>
      </w:rPr>
      <w:t xml:space="preserve"> </w:t>
    </w:r>
    <w:r>
      <w:fldChar w:fldCharType="end"/>
    </w:r>
  </w:p>
  <w:p w14:paraId="60034252">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20E38">
    <w:pPr>
      <w:pStyle w:val="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E5AB5">
    <w:pPr>
      <w:pStyle w:val="3"/>
      <w:ind w:firstLine="0" w:firstLineChars="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C8E48">
    <w:pPr>
      <w:pStyle w:val="3"/>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4637C">
    <w:pPr>
      <w:pStyle w:val="3"/>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7CD8A">
    <w:pPr>
      <w:pStyle w:val="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B9A9D">
    <w:pPr>
      <w:ind w:firstLine="0" w:firstLineChars="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D7473">
    <w:pPr>
      <w:pStyle w:val="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5D2B5">
    <w:pPr>
      <w:pStyle w:val="4"/>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2FF1C">
    <w:pPr>
      <w:ind w:firstLine="42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1F428">
    <w:pPr>
      <w:pStyle w:val="4"/>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960B6">
    <w:pPr>
      <w:pStyle w:val="4"/>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A4DD0">
    <w:pPr>
      <w:ind w:firstLine="4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34F98E"/>
    <w:multiLevelType w:val="singleLevel"/>
    <w:tmpl w:val="9D34F98E"/>
    <w:lvl w:ilvl="0" w:tentative="0">
      <w:start w:val="4"/>
      <w:numFmt w:val="chineseCounting"/>
      <w:suff w:val="nothing"/>
      <w:lvlText w:val="（%1）"/>
      <w:lvlJc w:val="left"/>
      <w:rPr>
        <w:rFonts w:hint="eastAsia"/>
        <w:b w:val="0"/>
        <w:bCs w:val="0"/>
      </w:rPr>
    </w:lvl>
  </w:abstractNum>
  <w:abstractNum w:abstractNumId="1">
    <w:nsid w:val="E2CD8012"/>
    <w:multiLevelType w:val="singleLevel"/>
    <w:tmpl w:val="E2CD8012"/>
    <w:lvl w:ilvl="0" w:tentative="0">
      <w:start w:val="1"/>
      <w:numFmt w:val="chineseCounting"/>
      <w:suff w:val="nothing"/>
      <w:lvlText w:val="%1、"/>
      <w:lvlJc w:val="left"/>
      <w:pPr>
        <w:ind w:left="0" w:firstLine="420"/>
      </w:pPr>
      <w:rPr>
        <w:rFonts w:hint="eastAsia"/>
      </w:rPr>
    </w:lvl>
  </w:abstractNum>
  <w:abstractNum w:abstractNumId="2">
    <w:nsid w:val="1EE317B3"/>
    <w:multiLevelType w:val="singleLevel"/>
    <w:tmpl w:val="1EE317B3"/>
    <w:lvl w:ilvl="0" w:tentative="0">
      <w:start w:val="1"/>
      <w:numFmt w:val="decimal"/>
      <w:lvlText w:val="%1."/>
      <w:lvlJc w:val="left"/>
      <w:pPr>
        <w:tabs>
          <w:tab w:val="left" w:pos="312"/>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DE5"/>
    <w:rsid w:val="00003043"/>
    <w:rsid w:val="000161CB"/>
    <w:rsid w:val="00017C59"/>
    <w:rsid w:val="00023E91"/>
    <w:rsid w:val="00025865"/>
    <w:rsid w:val="0004377E"/>
    <w:rsid w:val="0005088C"/>
    <w:rsid w:val="000577CC"/>
    <w:rsid w:val="000601BF"/>
    <w:rsid w:val="00060801"/>
    <w:rsid w:val="0006195E"/>
    <w:rsid w:val="000709F6"/>
    <w:rsid w:val="00072BDC"/>
    <w:rsid w:val="00074E83"/>
    <w:rsid w:val="00085CEE"/>
    <w:rsid w:val="000A4D51"/>
    <w:rsid w:val="000A7E69"/>
    <w:rsid w:val="000B1345"/>
    <w:rsid w:val="000C4C31"/>
    <w:rsid w:val="000C5720"/>
    <w:rsid w:val="000C5F06"/>
    <w:rsid w:val="000E5649"/>
    <w:rsid w:val="00101198"/>
    <w:rsid w:val="00102911"/>
    <w:rsid w:val="00106E84"/>
    <w:rsid w:val="00107E10"/>
    <w:rsid w:val="0011084C"/>
    <w:rsid w:val="00110D98"/>
    <w:rsid w:val="00116223"/>
    <w:rsid w:val="0012128A"/>
    <w:rsid w:val="00122841"/>
    <w:rsid w:val="0012304C"/>
    <w:rsid w:val="001244E0"/>
    <w:rsid w:val="0013113D"/>
    <w:rsid w:val="001402A1"/>
    <w:rsid w:val="00146A7A"/>
    <w:rsid w:val="00146FD4"/>
    <w:rsid w:val="00154DC7"/>
    <w:rsid w:val="00176C2E"/>
    <w:rsid w:val="00190F48"/>
    <w:rsid w:val="001A7726"/>
    <w:rsid w:val="001B0E10"/>
    <w:rsid w:val="001B2D58"/>
    <w:rsid w:val="001B425D"/>
    <w:rsid w:val="001C2867"/>
    <w:rsid w:val="001D51E9"/>
    <w:rsid w:val="001E18CD"/>
    <w:rsid w:val="001E2FE0"/>
    <w:rsid w:val="00212E5A"/>
    <w:rsid w:val="00231011"/>
    <w:rsid w:val="00244BE4"/>
    <w:rsid w:val="0026141B"/>
    <w:rsid w:val="00261B9A"/>
    <w:rsid w:val="002647C5"/>
    <w:rsid w:val="00267379"/>
    <w:rsid w:val="0029016E"/>
    <w:rsid w:val="002978AA"/>
    <w:rsid w:val="002A1BE1"/>
    <w:rsid w:val="002A4E3F"/>
    <w:rsid w:val="002D5688"/>
    <w:rsid w:val="002D5D9F"/>
    <w:rsid w:val="00302636"/>
    <w:rsid w:val="00312657"/>
    <w:rsid w:val="00323A73"/>
    <w:rsid w:val="00331886"/>
    <w:rsid w:val="00336DF3"/>
    <w:rsid w:val="0034534D"/>
    <w:rsid w:val="00354F13"/>
    <w:rsid w:val="00380CB5"/>
    <w:rsid w:val="003A2D5C"/>
    <w:rsid w:val="003B0327"/>
    <w:rsid w:val="003B0C15"/>
    <w:rsid w:val="003B46D0"/>
    <w:rsid w:val="003B5DCB"/>
    <w:rsid w:val="003C3A33"/>
    <w:rsid w:val="003C5006"/>
    <w:rsid w:val="003E4DDE"/>
    <w:rsid w:val="00401DE5"/>
    <w:rsid w:val="00421DEC"/>
    <w:rsid w:val="00422847"/>
    <w:rsid w:val="004358F0"/>
    <w:rsid w:val="00441DD6"/>
    <w:rsid w:val="00460863"/>
    <w:rsid w:val="00467D9D"/>
    <w:rsid w:val="00474427"/>
    <w:rsid w:val="00474644"/>
    <w:rsid w:val="00474979"/>
    <w:rsid w:val="004761E1"/>
    <w:rsid w:val="00477F9A"/>
    <w:rsid w:val="00481D6F"/>
    <w:rsid w:val="00484350"/>
    <w:rsid w:val="0048445E"/>
    <w:rsid w:val="00493E34"/>
    <w:rsid w:val="004B115D"/>
    <w:rsid w:val="004B1639"/>
    <w:rsid w:val="004B34CF"/>
    <w:rsid w:val="004B3D23"/>
    <w:rsid w:val="004C4DC7"/>
    <w:rsid w:val="004D5A54"/>
    <w:rsid w:val="004F1DA7"/>
    <w:rsid w:val="004F2025"/>
    <w:rsid w:val="004F658B"/>
    <w:rsid w:val="00504F8A"/>
    <w:rsid w:val="00522477"/>
    <w:rsid w:val="00531670"/>
    <w:rsid w:val="0054062C"/>
    <w:rsid w:val="005450D1"/>
    <w:rsid w:val="00545743"/>
    <w:rsid w:val="00547ADE"/>
    <w:rsid w:val="00562D5B"/>
    <w:rsid w:val="005842E1"/>
    <w:rsid w:val="0058612C"/>
    <w:rsid w:val="00594936"/>
    <w:rsid w:val="00596EC6"/>
    <w:rsid w:val="005A291E"/>
    <w:rsid w:val="005A773F"/>
    <w:rsid w:val="005B5A66"/>
    <w:rsid w:val="005B6444"/>
    <w:rsid w:val="005C1F55"/>
    <w:rsid w:val="005D093A"/>
    <w:rsid w:val="005D2BDC"/>
    <w:rsid w:val="005E3EF4"/>
    <w:rsid w:val="00603392"/>
    <w:rsid w:val="00603EDA"/>
    <w:rsid w:val="00611759"/>
    <w:rsid w:val="00633033"/>
    <w:rsid w:val="0064061E"/>
    <w:rsid w:val="00640C45"/>
    <w:rsid w:val="00645AE5"/>
    <w:rsid w:val="00646DBE"/>
    <w:rsid w:val="006477F9"/>
    <w:rsid w:val="00654402"/>
    <w:rsid w:val="0067606B"/>
    <w:rsid w:val="00697AC6"/>
    <w:rsid w:val="006A11B6"/>
    <w:rsid w:val="006A51F5"/>
    <w:rsid w:val="006B19F3"/>
    <w:rsid w:val="006B2B55"/>
    <w:rsid w:val="006C514A"/>
    <w:rsid w:val="006D2BE1"/>
    <w:rsid w:val="006E5974"/>
    <w:rsid w:val="006E60E4"/>
    <w:rsid w:val="00711A6F"/>
    <w:rsid w:val="0071397F"/>
    <w:rsid w:val="00724ED7"/>
    <w:rsid w:val="0072737E"/>
    <w:rsid w:val="00731081"/>
    <w:rsid w:val="00733E6F"/>
    <w:rsid w:val="00740225"/>
    <w:rsid w:val="007555FB"/>
    <w:rsid w:val="00760268"/>
    <w:rsid w:val="007746C7"/>
    <w:rsid w:val="00792064"/>
    <w:rsid w:val="00793954"/>
    <w:rsid w:val="0079606F"/>
    <w:rsid w:val="007A253F"/>
    <w:rsid w:val="007A3336"/>
    <w:rsid w:val="007B48BE"/>
    <w:rsid w:val="007C286B"/>
    <w:rsid w:val="007C4150"/>
    <w:rsid w:val="007E14F0"/>
    <w:rsid w:val="007E5DA8"/>
    <w:rsid w:val="007E7411"/>
    <w:rsid w:val="007F0275"/>
    <w:rsid w:val="007F5D00"/>
    <w:rsid w:val="00801B61"/>
    <w:rsid w:val="00804310"/>
    <w:rsid w:val="00806E98"/>
    <w:rsid w:val="008165DF"/>
    <w:rsid w:val="00830028"/>
    <w:rsid w:val="008341DE"/>
    <w:rsid w:val="00841B82"/>
    <w:rsid w:val="00846962"/>
    <w:rsid w:val="00853A70"/>
    <w:rsid w:val="0086508F"/>
    <w:rsid w:val="0086671A"/>
    <w:rsid w:val="00894FF0"/>
    <w:rsid w:val="00895690"/>
    <w:rsid w:val="008A04D4"/>
    <w:rsid w:val="008A2A3A"/>
    <w:rsid w:val="008C3F0C"/>
    <w:rsid w:val="008D5B09"/>
    <w:rsid w:val="008E1F6F"/>
    <w:rsid w:val="008E38E3"/>
    <w:rsid w:val="008F718B"/>
    <w:rsid w:val="00902865"/>
    <w:rsid w:val="009149C0"/>
    <w:rsid w:val="0092099E"/>
    <w:rsid w:val="00922BD1"/>
    <w:rsid w:val="009304EA"/>
    <w:rsid w:val="0093282C"/>
    <w:rsid w:val="009405E8"/>
    <w:rsid w:val="0097062F"/>
    <w:rsid w:val="009B2A29"/>
    <w:rsid w:val="009C1B8C"/>
    <w:rsid w:val="009C3FD8"/>
    <w:rsid w:val="009D7510"/>
    <w:rsid w:val="009E2D45"/>
    <w:rsid w:val="009E4513"/>
    <w:rsid w:val="00A105A7"/>
    <w:rsid w:val="00A200AB"/>
    <w:rsid w:val="00A2377E"/>
    <w:rsid w:val="00A3601C"/>
    <w:rsid w:val="00A3659B"/>
    <w:rsid w:val="00A37E78"/>
    <w:rsid w:val="00A46F80"/>
    <w:rsid w:val="00A61520"/>
    <w:rsid w:val="00A72980"/>
    <w:rsid w:val="00A76C0E"/>
    <w:rsid w:val="00A86CA5"/>
    <w:rsid w:val="00A91914"/>
    <w:rsid w:val="00A940DC"/>
    <w:rsid w:val="00A94D7E"/>
    <w:rsid w:val="00AA2E3E"/>
    <w:rsid w:val="00AA7A49"/>
    <w:rsid w:val="00AB25CF"/>
    <w:rsid w:val="00AB5A72"/>
    <w:rsid w:val="00AC7397"/>
    <w:rsid w:val="00AD44BB"/>
    <w:rsid w:val="00AD627D"/>
    <w:rsid w:val="00AE7364"/>
    <w:rsid w:val="00AF35D6"/>
    <w:rsid w:val="00AF7704"/>
    <w:rsid w:val="00B0439E"/>
    <w:rsid w:val="00B12164"/>
    <w:rsid w:val="00B16B4C"/>
    <w:rsid w:val="00B2386F"/>
    <w:rsid w:val="00B27A25"/>
    <w:rsid w:val="00B31673"/>
    <w:rsid w:val="00B320B2"/>
    <w:rsid w:val="00B3771F"/>
    <w:rsid w:val="00B44B11"/>
    <w:rsid w:val="00B5304A"/>
    <w:rsid w:val="00B87669"/>
    <w:rsid w:val="00BA4195"/>
    <w:rsid w:val="00BA4F1B"/>
    <w:rsid w:val="00BA60F2"/>
    <w:rsid w:val="00BA7843"/>
    <w:rsid w:val="00BB3D1A"/>
    <w:rsid w:val="00BD118C"/>
    <w:rsid w:val="00BD5556"/>
    <w:rsid w:val="00BE4BDF"/>
    <w:rsid w:val="00BE6460"/>
    <w:rsid w:val="00BF213A"/>
    <w:rsid w:val="00C07CF3"/>
    <w:rsid w:val="00C11547"/>
    <w:rsid w:val="00C267BE"/>
    <w:rsid w:val="00C30B66"/>
    <w:rsid w:val="00C325C8"/>
    <w:rsid w:val="00C37CAC"/>
    <w:rsid w:val="00C437AD"/>
    <w:rsid w:val="00C51EF7"/>
    <w:rsid w:val="00C651D0"/>
    <w:rsid w:val="00C72F03"/>
    <w:rsid w:val="00C763A0"/>
    <w:rsid w:val="00C97D2F"/>
    <w:rsid w:val="00CA459C"/>
    <w:rsid w:val="00CB11E7"/>
    <w:rsid w:val="00CB29E7"/>
    <w:rsid w:val="00CD13ED"/>
    <w:rsid w:val="00CD433B"/>
    <w:rsid w:val="00CD71A6"/>
    <w:rsid w:val="00D02A34"/>
    <w:rsid w:val="00D04060"/>
    <w:rsid w:val="00D10BC5"/>
    <w:rsid w:val="00D328AE"/>
    <w:rsid w:val="00D45616"/>
    <w:rsid w:val="00D519CB"/>
    <w:rsid w:val="00D54E42"/>
    <w:rsid w:val="00D61ECC"/>
    <w:rsid w:val="00D73097"/>
    <w:rsid w:val="00DB6163"/>
    <w:rsid w:val="00DC2CA2"/>
    <w:rsid w:val="00DC4B41"/>
    <w:rsid w:val="00DC7668"/>
    <w:rsid w:val="00DD3D60"/>
    <w:rsid w:val="00DF793E"/>
    <w:rsid w:val="00E01171"/>
    <w:rsid w:val="00E06635"/>
    <w:rsid w:val="00E12BFC"/>
    <w:rsid w:val="00E1419B"/>
    <w:rsid w:val="00E35387"/>
    <w:rsid w:val="00E55D34"/>
    <w:rsid w:val="00E64429"/>
    <w:rsid w:val="00E701E4"/>
    <w:rsid w:val="00E912E5"/>
    <w:rsid w:val="00E94140"/>
    <w:rsid w:val="00EC01A5"/>
    <w:rsid w:val="00EC06F1"/>
    <w:rsid w:val="00EE0BC2"/>
    <w:rsid w:val="00EF5068"/>
    <w:rsid w:val="00F1050B"/>
    <w:rsid w:val="00F16126"/>
    <w:rsid w:val="00F20DFF"/>
    <w:rsid w:val="00F27AD6"/>
    <w:rsid w:val="00F36142"/>
    <w:rsid w:val="00F3650A"/>
    <w:rsid w:val="00F6162D"/>
    <w:rsid w:val="00F64A98"/>
    <w:rsid w:val="00F73C3D"/>
    <w:rsid w:val="00F74939"/>
    <w:rsid w:val="00F8597C"/>
    <w:rsid w:val="00F872D3"/>
    <w:rsid w:val="00F8759E"/>
    <w:rsid w:val="00FA2371"/>
    <w:rsid w:val="00FB4B0C"/>
    <w:rsid w:val="00FD1033"/>
    <w:rsid w:val="00FE3E38"/>
    <w:rsid w:val="00FF6569"/>
    <w:rsid w:val="016D5D29"/>
    <w:rsid w:val="024E31BD"/>
    <w:rsid w:val="025C1B4A"/>
    <w:rsid w:val="04580A1A"/>
    <w:rsid w:val="045D34D3"/>
    <w:rsid w:val="0461592E"/>
    <w:rsid w:val="051214B4"/>
    <w:rsid w:val="06AB20CE"/>
    <w:rsid w:val="070D3849"/>
    <w:rsid w:val="07C90B71"/>
    <w:rsid w:val="08BD61C8"/>
    <w:rsid w:val="08FE5039"/>
    <w:rsid w:val="0A5058B9"/>
    <w:rsid w:val="0A936C5D"/>
    <w:rsid w:val="0B375294"/>
    <w:rsid w:val="0B602217"/>
    <w:rsid w:val="0B71230C"/>
    <w:rsid w:val="0B715836"/>
    <w:rsid w:val="0B727457"/>
    <w:rsid w:val="0CA06E61"/>
    <w:rsid w:val="0D607BF6"/>
    <w:rsid w:val="0D7F7F7A"/>
    <w:rsid w:val="0EC3267E"/>
    <w:rsid w:val="0EF625AC"/>
    <w:rsid w:val="0F8E1EB6"/>
    <w:rsid w:val="104977A5"/>
    <w:rsid w:val="10A90F6E"/>
    <w:rsid w:val="10C929EA"/>
    <w:rsid w:val="110E5584"/>
    <w:rsid w:val="11175BEC"/>
    <w:rsid w:val="11567FC8"/>
    <w:rsid w:val="1203745D"/>
    <w:rsid w:val="121D5CB7"/>
    <w:rsid w:val="124771F7"/>
    <w:rsid w:val="12C23A8A"/>
    <w:rsid w:val="131D0882"/>
    <w:rsid w:val="13812B6E"/>
    <w:rsid w:val="13ED3D8E"/>
    <w:rsid w:val="14626D50"/>
    <w:rsid w:val="14D71F79"/>
    <w:rsid w:val="15A51221"/>
    <w:rsid w:val="165D5A37"/>
    <w:rsid w:val="16AA5DAB"/>
    <w:rsid w:val="1729160C"/>
    <w:rsid w:val="1764269C"/>
    <w:rsid w:val="17EF2E07"/>
    <w:rsid w:val="17F751D0"/>
    <w:rsid w:val="18212E18"/>
    <w:rsid w:val="197E6B2C"/>
    <w:rsid w:val="199913CD"/>
    <w:rsid w:val="1A0206F7"/>
    <w:rsid w:val="1A17656F"/>
    <w:rsid w:val="1A3F047F"/>
    <w:rsid w:val="1B265DE9"/>
    <w:rsid w:val="1BEE4DF7"/>
    <w:rsid w:val="1CF203D7"/>
    <w:rsid w:val="1EA74833"/>
    <w:rsid w:val="1EAB00AD"/>
    <w:rsid w:val="1FC34F60"/>
    <w:rsid w:val="203051E2"/>
    <w:rsid w:val="209F6F92"/>
    <w:rsid w:val="20DE4AD6"/>
    <w:rsid w:val="234E1B01"/>
    <w:rsid w:val="2355603E"/>
    <w:rsid w:val="23FB4E4C"/>
    <w:rsid w:val="24B90E75"/>
    <w:rsid w:val="255E20E6"/>
    <w:rsid w:val="266B0E73"/>
    <w:rsid w:val="271C53E5"/>
    <w:rsid w:val="277C51EB"/>
    <w:rsid w:val="282C43EC"/>
    <w:rsid w:val="295A3BC5"/>
    <w:rsid w:val="2988420A"/>
    <w:rsid w:val="2A906944"/>
    <w:rsid w:val="2B767387"/>
    <w:rsid w:val="2B8901EE"/>
    <w:rsid w:val="2BA20629"/>
    <w:rsid w:val="2BDF5376"/>
    <w:rsid w:val="2BE65013"/>
    <w:rsid w:val="2C524771"/>
    <w:rsid w:val="2C76725C"/>
    <w:rsid w:val="2C8A5E20"/>
    <w:rsid w:val="2DBB3E55"/>
    <w:rsid w:val="2ECC0432"/>
    <w:rsid w:val="2F240E9E"/>
    <w:rsid w:val="2F942867"/>
    <w:rsid w:val="304B4109"/>
    <w:rsid w:val="30A1695B"/>
    <w:rsid w:val="313E4C16"/>
    <w:rsid w:val="321B1B17"/>
    <w:rsid w:val="32865C79"/>
    <w:rsid w:val="32D15935"/>
    <w:rsid w:val="33DA255D"/>
    <w:rsid w:val="350A0182"/>
    <w:rsid w:val="35BD46C2"/>
    <w:rsid w:val="375138AA"/>
    <w:rsid w:val="37664FCF"/>
    <w:rsid w:val="37781D9D"/>
    <w:rsid w:val="388E0068"/>
    <w:rsid w:val="39F808A3"/>
    <w:rsid w:val="3A6C4F0A"/>
    <w:rsid w:val="3A8514C4"/>
    <w:rsid w:val="3B7333A1"/>
    <w:rsid w:val="3BC10E30"/>
    <w:rsid w:val="3C293B1F"/>
    <w:rsid w:val="3C3D73B9"/>
    <w:rsid w:val="3E866B71"/>
    <w:rsid w:val="3EE96E87"/>
    <w:rsid w:val="3F30371B"/>
    <w:rsid w:val="40AF644D"/>
    <w:rsid w:val="42971F85"/>
    <w:rsid w:val="42E854F8"/>
    <w:rsid w:val="43EF5F40"/>
    <w:rsid w:val="44733FB6"/>
    <w:rsid w:val="44BB4440"/>
    <w:rsid w:val="44F366BA"/>
    <w:rsid w:val="44F52E34"/>
    <w:rsid w:val="456C7AE2"/>
    <w:rsid w:val="457708E0"/>
    <w:rsid w:val="45ED611E"/>
    <w:rsid w:val="4647240E"/>
    <w:rsid w:val="464C76CF"/>
    <w:rsid w:val="46AE72BC"/>
    <w:rsid w:val="46BD2650"/>
    <w:rsid w:val="47D755E4"/>
    <w:rsid w:val="47FC538D"/>
    <w:rsid w:val="486115DC"/>
    <w:rsid w:val="4886701B"/>
    <w:rsid w:val="48993612"/>
    <w:rsid w:val="48B86E14"/>
    <w:rsid w:val="49265DF6"/>
    <w:rsid w:val="49D025CA"/>
    <w:rsid w:val="4A04393F"/>
    <w:rsid w:val="4B470073"/>
    <w:rsid w:val="4B4C47AA"/>
    <w:rsid w:val="4BE95B17"/>
    <w:rsid w:val="4DE621FB"/>
    <w:rsid w:val="4DF16F1E"/>
    <w:rsid w:val="4E9F2A08"/>
    <w:rsid w:val="4E9F772E"/>
    <w:rsid w:val="4ED332E9"/>
    <w:rsid w:val="4FA77313"/>
    <w:rsid w:val="5001384B"/>
    <w:rsid w:val="50086768"/>
    <w:rsid w:val="509938A8"/>
    <w:rsid w:val="50B055A1"/>
    <w:rsid w:val="510D1FCC"/>
    <w:rsid w:val="525A3635"/>
    <w:rsid w:val="52A51BA5"/>
    <w:rsid w:val="536F2255"/>
    <w:rsid w:val="539C2AB0"/>
    <w:rsid w:val="53D04C0D"/>
    <w:rsid w:val="53FD6011"/>
    <w:rsid w:val="54E43134"/>
    <w:rsid w:val="555E5F94"/>
    <w:rsid w:val="56553771"/>
    <w:rsid w:val="56D96EA8"/>
    <w:rsid w:val="573371E1"/>
    <w:rsid w:val="57AC218E"/>
    <w:rsid w:val="58453CFE"/>
    <w:rsid w:val="58E757B0"/>
    <w:rsid w:val="59173250"/>
    <w:rsid w:val="5A607655"/>
    <w:rsid w:val="5B2F62E3"/>
    <w:rsid w:val="5C5C7EB7"/>
    <w:rsid w:val="5C9F389C"/>
    <w:rsid w:val="5CA64CA6"/>
    <w:rsid w:val="5E4E342D"/>
    <w:rsid w:val="5F0A61D2"/>
    <w:rsid w:val="5F81511B"/>
    <w:rsid w:val="5F831F7B"/>
    <w:rsid w:val="5F88496B"/>
    <w:rsid w:val="60C62535"/>
    <w:rsid w:val="61113C00"/>
    <w:rsid w:val="616D36A3"/>
    <w:rsid w:val="624E6F8F"/>
    <w:rsid w:val="625E62A9"/>
    <w:rsid w:val="628D1ACF"/>
    <w:rsid w:val="62981A01"/>
    <w:rsid w:val="630F5067"/>
    <w:rsid w:val="632958C1"/>
    <w:rsid w:val="63E366DC"/>
    <w:rsid w:val="644C5EDB"/>
    <w:rsid w:val="646C2D7C"/>
    <w:rsid w:val="650B3D26"/>
    <w:rsid w:val="65116386"/>
    <w:rsid w:val="65D42165"/>
    <w:rsid w:val="66642AA7"/>
    <w:rsid w:val="67D52A51"/>
    <w:rsid w:val="680944DF"/>
    <w:rsid w:val="6845513F"/>
    <w:rsid w:val="68483E44"/>
    <w:rsid w:val="68DB5336"/>
    <w:rsid w:val="6952022C"/>
    <w:rsid w:val="699E7D03"/>
    <w:rsid w:val="69CC7DEF"/>
    <w:rsid w:val="69E878A1"/>
    <w:rsid w:val="69F301ED"/>
    <w:rsid w:val="6AAE10E5"/>
    <w:rsid w:val="6B8C3DEB"/>
    <w:rsid w:val="6BBD684A"/>
    <w:rsid w:val="6C4C3EAD"/>
    <w:rsid w:val="6C4E728F"/>
    <w:rsid w:val="6CB3063E"/>
    <w:rsid w:val="6D042B84"/>
    <w:rsid w:val="6DB50CB8"/>
    <w:rsid w:val="6E023CD0"/>
    <w:rsid w:val="6E1E580E"/>
    <w:rsid w:val="6E663044"/>
    <w:rsid w:val="6F033D94"/>
    <w:rsid w:val="6F735359"/>
    <w:rsid w:val="70024036"/>
    <w:rsid w:val="70472F55"/>
    <w:rsid w:val="715D0027"/>
    <w:rsid w:val="719C02F0"/>
    <w:rsid w:val="722550A8"/>
    <w:rsid w:val="73B52AC6"/>
    <w:rsid w:val="73B92092"/>
    <w:rsid w:val="73BA5392"/>
    <w:rsid w:val="74904B1A"/>
    <w:rsid w:val="74DC4BB1"/>
    <w:rsid w:val="75237E26"/>
    <w:rsid w:val="754018BF"/>
    <w:rsid w:val="759722FF"/>
    <w:rsid w:val="75E14921"/>
    <w:rsid w:val="77A007AB"/>
    <w:rsid w:val="78284345"/>
    <w:rsid w:val="79222720"/>
    <w:rsid w:val="79D51B27"/>
    <w:rsid w:val="79F56707"/>
    <w:rsid w:val="7A64293C"/>
    <w:rsid w:val="7B0D396E"/>
    <w:rsid w:val="7B5F2E59"/>
    <w:rsid w:val="7B891A08"/>
    <w:rsid w:val="7D1E6A9F"/>
    <w:rsid w:val="7DC17407"/>
    <w:rsid w:val="7E9222F7"/>
    <w:rsid w:val="7EDD5A9A"/>
    <w:rsid w:val="7F7658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00" w:lineRule="exact"/>
      <w:ind w:firstLine="200" w:firstLineChars="20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9"/>
    <w:pPr>
      <w:keepNext/>
      <w:keepLines/>
      <w:spacing w:before="340" w:after="330" w:line="578" w:lineRule="atLeast"/>
      <w:outlineLvl w:val="0"/>
    </w:pPr>
    <w:rPr>
      <w:b/>
      <w:bCs/>
      <w:kern w:val="44"/>
      <w:sz w:val="44"/>
      <w:szCs w:val="44"/>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spacing w:line="240" w:lineRule="atLeast"/>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8">
    <w:name w:val="page number"/>
    <w:basedOn w:val="7"/>
    <w:qFormat/>
    <w:uiPriority w:val="0"/>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character" w:customStyle="1" w:styleId="11">
    <w:name w:val="标题 1 Char"/>
    <w:basedOn w:val="7"/>
    <w:link w:val="2"/>
    <w:qFormat/>
    <w:uiPriority w:val="9"/>
    <w:rPr>
      <w:b/>
      <w:bCs/>
      <w:kern w:val="44"/>
      <w:sz w:val="44"/>
      <w:szCs w:val="44"/>
    </w:rPr>
  </w:style>
  <w:style w:type="paragraph" w:styleId="12">
    <w:name w:val="List Paragraph"/>
    <w:basedOn w:val="1"/>
    <w:qFormat/>
    <w:uiPriority w:val="99"/>
    <w:pPr>
      <w:widowControl w:val="0"/>
      <w:spacing w:line="240" w:lineRule="auto"/>
      <w:ind w:firstLine="420"/>
    </w:pPr>
    <w:rPr>
      <w:rFonts w:ascii="等线" w:hAnsi="等线" w:eastAsia="等线"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E79EC-75E1-4D4B-B736-9E6434F3DA61}">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9</Pages>
  <Words>8635</Words>
  <Characters>9517</Characters>
  <Lines>254</Lines>
  <Paragraphs>271</Paragraphs>
  <TotalTime>1</TotalTime>
  <ScaleCrop>false</ScaleCrop>
  <LinksUpToDate>false</LinksUpToDate>
  <CharactersWithSpaces>9539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2020-10-06T05:31:00Z</dcterms:created>
  <dc:creator>Marbor</dc:creator>
  <cp:lastModifiedBy>May</cp:lastModifiedBy>
  <dcterms:modified xsi:type="dcterms:W3CDTF">2025-01-02T02:46:26Z</dcterms:modified>
  <cp:revision>164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F30FEDE375654835B356065707C593F3</vt:lpwstr>
  </property>
  <property fmtid="{D5CDD505-2E9C-101B-9397-08002B2CF9AE}" pid="4" name="KSOTemplateDocerSaveRecord">
    <vt:lpwstr>eyJoZGlkIjoiNDM2MTIwYWE4YmU4OWZjNzc2NzNhMDE3YTJjOTM1OWYiLCJ1c2VySWQiOiI0OTk3ODU4NTUifQ==</vt:lpwstr>
  </property>
</Properties>
</file>