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78B94">
      <w:pPr>
        <w:pStyle w:val="2"/>
        <w:numPr>
          <w:ilvl w:val="0"/>
          <w:numId w:val="0"/>
        </w:numPr>
        <w:spacing w:before="0" w:after="0" w:line="520" w:lineRule="exact"/>
        <w:ind w:left="1632" w:leftChars="0" w:hanging="432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</w:rPr>
        <w:t>招标数量及参数要求</w:t>
      </w:r>
    </w:p>
    <w:tbl>
      <w:tblPr>
        <w:tblStyle w:val="3"/>
        <w:tblW w:w="5396" w:type="pct"/>
        <w:tblInd w:w="-4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5664"/>
        <w:gridCol w:w="686"/>
        <w:gridCol w:w="1251"/>
      </w:tblGrid>
      <w:tr w14:paraId="1884C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E9EF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F1B6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A325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02AD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55EEC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4A7B5">
            <w:pPr>
              <w:widowControl/>
              <w:snapToGrid w:val="0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大数据服务器</w:t>
            </w:r>
          </w:p>
        </w:tc>
        <w:tc>
          <w:tcPr>
            <w:tcW w:w="30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AE6F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1、CPU：2颗英特尔至强第四代可扩展处理器，单核心≥48核心</w:t>
            </w:r>
          </w:p>
          <w:p w14:paraId="34C29A73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2、内存：256 GB 内存 (32GB×8) ECC-REG.</w:t>
            </w:r>
          </w:p>
          <w:p w14:paraId="06C44F6F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3、硬盘：3*3.84TB NVMe SSD 企业级</w:t>
            </w:r>
          </w:p>
          <w:p w14:paraId="1747DF12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4、网络：配置≥1双口千兆电；≥1双口万兆光（含模块及线缆）</w:t>
            </w:r>
          </w:p>
          <w:p w14:paraId="4653816F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 xml:space="preserve">5、电源：单电 1300W </w:t>
            </w:r>
          </w:p>
          <w:p w14:paraId="08B3D42C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6、售后服务：要求提供实际生产厂商三年硬件现场7×24小时服务，产品原包原封，全国联保，供应商负责安装调试及数据迁移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eastAsia="zh-Hans" w:bidi="ar"/>
              </w:rPr>
              <w:t>，</w:t>
            </w: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Cs w:val="24"/>
                <w:lang w:val="en-US" w:eastAsia="zh-Hans" w:bidi="ar"/>
              </w:rPr>
              <w:t>提供操作系统及系统软件安装服务。</w:t>
            </w:r>
            <w:bookmarkStart w:id="0" w:name="_GoBack"/>
            <w:bookmarkEnd w:id="0"/>
          </w:p>
          <w:p w14:paraId="064DD50F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7、兼容性："支持ubuntu，CentOS ， SLES操作系统，支持中标麒麟，银河麒麟，深之度国产化操作系统"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br w:type="textWrapping"/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8、供货周期：签订合同后收到预付款后15个工作日，提供上门安装调试服务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395D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CFF6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</w:tr>
      <w:tr w14:paraId="79335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atLeast"/>
        </w:trPr>
        <w:tc>
          <w:tcPr>
            <w:tcW w:w="8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2FEF9">
            <w:pPr>
              <w:widowControl/>
              <w:snapToGrid w:val="0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深度学习服务器</w:t>
            </w:r>
          </w:p>
        </w:tc>
        <w:tc>
          <w:tcPr>
            <w:tcW w:w="30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61998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1、CPU：1、CPU：1颗英特尔至强第四代可扩展处理器，单核心≥16核心</w:t>
            </w:r>
          </w:p>
          <w:p w14:paraId="00786A3A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 xml:space="preserve">2、内存：64 GB 内存 (32GB×2) ECC-REG. </w:t>
            </w:r>
          </w:p>
          <w:p w14:paraId="749F08CB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3、硬盘：1*3.84TB NVME SSD， 1*8TB</w:t>
            </w:r>
          </w:p>
          <w:p w14:paraId="31BA7336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4、显卡：2 张 NVIDIA RTX 4090 24G 涡轮 （非白牌 非游戏卡）</w:t>
            </w:r>
          </w:p>
          <w:p w14:paraId="2B758134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auto"/>
                <w:kern w:val="0"/>
                <w:szCs w:val="24"/>
                <w:lang w:bidi="ar"/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val="en-US" w:eastAsia="zh-CN" w:bidi="ar"/>
              </w:rPr>
              <w:t>5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、售后服务：要求提供实际生产厂商三年硬件现场7×24小时服务，产品原包原封，全国联保，供应商负责安装调试及数据迁移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eastAsia="zh-Hans" w:bidi="ar"/>
              </w:rPr>
              <w:t>，</w:t>
            </w: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Cs w:val="24"/>
                <w:lang w:val="en-US" w:eastAsia="zh-Hans" w:bidi="ar"/>
              </w:rPr>
              <w:t>提供操作系统及系统软件安装服</w:t>
            </w: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Cs w:val="24"/>
                <w:lang w:val="en-US" w:eastAsia="zh-CN" w:bidi="ar"/>
              </w:rPr>
              <w:t>务</w:t>
            </w: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Cs w:val="24"/>
                <w:lang w:val="en-US" w:eastAsia="zh-Hans" w:bidi="ar"/>
              </w:rPr>
              <w:t>。</w:t>
            </w:r>
          </w:p>
          <w:p w14:paraId="5EBD8157">
            <w:pPr>
              <w:snapToGrid w:val="0"/>
              <w:jc w:val="left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val="en-US" w:eastAsia="zh-CN" w:bidi="ar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color w:val="000000"/>
                <w:kern w:val="0"/>
                <w:szCs w:val="24"/>
                <w:lang w:bidi="ar"/>
              </w:rPr>
              <w:t>、兼容性："支持ubuntu，CentOS ， SLES操作系统，支持中标麒麟，银河麒麟，深之度国产化操作系统"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4882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1D16A">
            <w:pPr>
              <w:widowControl/>
              <w:snapToGrid w:val="0"/>
              <w:jc w:val="center"/>
              <w:textAlignment w:val="center"/>
              <w:rPr>
                <w:rFonts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_GBK" w:hAnsi="方正楷体_GBK" w:eastAsia="方正楷体_GBK" w:cs="方正楷体_GBK"/>
                <w:color w:val="000000" w:themeColor="text1"/>
                <w:kern w:val="0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</w:tr>
    </w:tbl>
    <w:p w14:paraId="31D466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BE1B30"/>
    <w:multiLevelType w:val="multilevel"/>
    <w:tmpl w:val="00BE1B30"/>
    <w:lvl w:ilvl="0" w:tentative="0">
      <w:start w:val="1"/>
      <w:numFmt w:val="chineseCountingThousand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C7D77"/>
    <w:rsid w:val="7B3C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2025-01-03T02:34:00Z</dcterms:created>
  <dc:creator>老板加冰!</dc:creator>
  <cp:lastModifiedBy>老板加冰!</cp:lastModifiedBy>
  <dcterms:modified xsi:type="dcterms:W3CDTF">2025-01-03T02:34:41Z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0157661DD00A44E18B3657484AF46402_11</vt:lpwstr>
  </property>
  <property fmtid="{D5CDD505-2E9C-101B-9397-08002B2CF9AE}" pid="4" name="KSOTemplateDocerSaveRecord">
    <vt:lpwstr>eyJoZGlkIjoiYWMxNzQxOWFiMTJkMDA2MWY1OGVhZDc2ZGQ0NTQ1NzgiLCJ1c2VySWQiOiI0OTk3MzY1MzMifQ==</vt:lpwstr>
  </property>
</Properties>
</file>