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52AE5D4E">
      <w:pPr>
        <w:pStyle w:val="108"/>
        <w:ind w:firstLine="0" w:firstLineChars="0"/>
        <w:jc w:val="center"/>
        <w:rPr>
          <w:rFonts w:ascii="Times New Roman" w:hAnsi="Times New Roman" w:eastAsiaTheme="minorEastAsia"/>
          <w:color w:val="auto"/>
          <w:highlight w:val="none"/>
        </w:rPr>
      </w:pPr>
    </w:p>
    <w:p w14:paraId="063E5BCC">
      <w:pPr>
        <w:spacing w:line="900" w:lineRule="exact"/>
        <w:jc w:val="center"/>
        <w:rPr>
          <w:rFonts w:ascii="Times New Roman" w:hAnsi="Times New Roman" w:eastAsia="方正黑体_GBK" w:cs="Times New Roman"/>
          <w:b/>
          <w:color w:val="auto"/>
          <w:sz w:val="44"/>
          <w:szCs w:val="44"/>
          <w:highlight w:val="none"/>
        </w:rPr>
      </w:pPr>
      <w:r>
        <w:rPr>
          <w:rFonts w:ascii="Times New Roman" w:hAnsi="Times New Roman" w:eastAsia="方正黑体_GBK" w:cs="Times New Roman"/>
          <w:b/>
          <w:color w:val="auto"/>
          <w:sz w:val="44"/>
          <w:szCs w:val="44"/>
          <w:highlight w:val="none"/>
        </w:rPr>
        <w:t>重庆财经学院</w:t>
      </w:r>
    </w:p>
    <w:p w14:paraId="21544826">
      <w:pPr>
        <w:spacing w:line="900" w:lineRule="exact"/>
        <w:jc w:val="center"/>
        <w:rPr>
          <w:rFonts w:ascii="Times New Roman" w:hAnsi="Times New Roman" w:eastAsia="方正黑体_GBK" w:cs="Times New Roman"/>
          <w:b/>
          <w:color w:val="auto"/>
          <w:sz w:val="44"/>
          <w:szCs w:val="44"/>
          <w:highlight w:val="none"/>
        </w:rPr>
      </w:pPr>
      <w:r>
        <w:rPr>
          <w:rFonts w:hint="eastAsia" w:ascii="Times New Roman" w:hAnsi="Times New Roman" w:eastAsia="方正黑体_GBK" w:cs="Times New Roman"/>
          <w:b/>
          <w:color w:val="auto"/>
          <w:sz w:val="44"/>
          <w:szCs w:val="44"/>
          <w:highlight w:val="none"/>
          <w:lang w:eastAsia="zh-CN"/>
        </w:rPr>
        <w:t>大数据审计分析教学平台采购</w:t>
      </w:r>
      <w:r>
        <w:rPr>
          <w:rFonts w:ascii="Times New Roman" w:hAnsi="Times New Roman" w:eastAsia="方正黑体_GBK" w:cs="Times New Roman"/>
          <w:b/>
          <w:color w:val="auto"/>
          <w:sz w:val="44"/>
          <w:szCs w:val="44"/>
          <w:highlight w:val="none"/>
        </w:rPr>
        <w:t>项目</w:t>
      </w:r>
    </w:p>
    <w:p w14:paraId="3960A5A2">
      <w:pPr>
        <w:spacing w:line="900" w:lineRule="exact"/>
        <w:jc w:val="center"/>
        <w:rPr>
          <w:rFonts w:ascii="Times New Roman" w:hAnsi="Times New Roman" w:cs="Times New Roman" w:eastAsiaTheme="minorEastAsia"/>
          <w:b/>
          <w:color w:val="auto"/>
          <w:sz w:val="30"/>
          <w:szCs w:val="30"/>
          <w:highlight w:val="none"/>
        </w:rPr>
      </w:pPr>
    </w:p>
    <w:p w14:paraId="4BBF0ACC">
      <w:pPr>
        <w:spacing w:line="900" w:lineRule="exact"/>
        <w:jc w:val="center"/>
        <w:rPr>
          <w:rFonts w:ascii="Times New Roman" w:hAnsi="Times New Roman" w:cs="Times New Roman" w:eastAsiaTheme="minorEastAsia"/>
          <w:b/>
          <w:color w:val="auto"/>
          <w:sz w:val="30"/>
          <w:szCs w:val="30"/>
          <w:highlight w:val="none"/>
        </w:rPr>
      </w:pPr>
      <w:r>
        <w:rPr>
          <w:rFonts w:hint="eastAsia" w:ascii="Times New Roman" w:hAnsi="Times New Roman" w:eastAsia="方正黑体_GBK" w:cs="Times New Roman"/>
          <w:b/>
          <w:color w:val="auto"/>
          <w:sz w:val="44"/>
          <w:szCs w:val="44"/>
          <w:highlight w:val="none"/>
          <w:lang w:eastAsia="zh-CN"/>
        </w:rPr>
        <w:t>（</w:t>
      </w:r>
      <w:r>
        <w:rPr>
          <w:rFonts w:hint="eastAsia" w:ascii="Times New Roman" w:hAnsi="Times New Roman" w:eastAsia="方正黑体_GBK" w:cs="Times New Roman"/>
          <w:b/>
          <w:color w:val="auto"/>
          <w:sz w:val="44"/>
          <w:szCs w:val="44"/>
          <w:highlight w:val="none"/>
          <w:lang w:val="en-US" w:eastAsia="zh-CN"/>
        </w:rPr>
        <w:t>第二次</w:t>
      </w:r>
      <w:r>
        <w:rPr>
          <w:rFonts w:hint="eastAsia" w:ascii="Times New Roman" w:hAnsi="Times New Roman" w:eastAsia="方正黑体_GBK" w:cs="Times New Roman"/>
          <w:b/>
          <w:color w:val="auto"/>
          <w:sz w:val="44"/>
          <w:szCs w:val="44"/>
          <w:highlight w:val="none"/>
          <w:lang w:eastAsia="zh-CN"/>
        </w:rPr>
        <w:t>）</w:t>
      </w:r>
    </w:p>
    <w:p w14:paraId="7B0E10DE">
      <w:pPr>
        <w:spacing w:line="276" w:lineRule="auto"/>
        <w:jc w:val="distribute"/>
        <w:rPr>
          <w:rFonts w:ascii="Times New Roman" w:hAnsi="Times New Roman" w:eastAsia="方正黑体_GBK" w:cs="Times New Roman"/>
          <w:b/>
          <w:color w:val="auto"/>
          <w:sz w:val="52"/>
          <w:szCs w:val="52"/>
          <w:highlight w:val="none"/>
        </w:rPr>
      </w:pPr>
      <w:r>
        <w:rPr>
          <w:rFonts w:ascii="Times New Roman" w:hAnsi="Times New Roman" w:eastAsia="方正黑体_GBK" w:cs="Times New Roman"/>
          <w:b/>
          <w:color w:val="auto"/>
          <w:sz w:val="52"/>
          <w:szCs w:val="52"/>
          <w:highlight w:val="none"/>
        </w:rPr>
        <w:t>招</w:t>
      </w:r>
    </w:p>
    <w:p w14:paraId="65AA0FE7">
      <w:pPr>
        <w:spacing w:line="276" w:lineRule="auto"/>
        <w:jc w:val="distribute"/>
        <w:rPr>
          <w:rFonts w:ascii="Times New Roman" w:hAnsi="Times New Roman" w:eastAsia="方正黑体_GBK" w:cs="Times New Roman"/>
          <w:b/>
          <w:color w:val="auto"/>
          <w:sz w:val="52"/>
          <w:szCs w:val="52"/>
          <w:highlight w:val="none"/>
        </w:rPr>
      </w:pPr>
      <w:r>
        <w:rPr>
          <w:rFonts w:ascii="Times New Roman" w:hAnsi="Times New Roman" w:eastAsia="方正黑体_GBK" w:cs="Times New Roman"/>
          <w:b/>
          <w:color w:val="auto"/>
          <w:sz w:val="52"/>
          <w:szCs w:val="52"/>
          <w:highlight w:val="none"/>
        </w:rPr>
        <w:t>标</w:t>
      </w:r>
    </w:p>
    <w:p w14:paraId="4831097A">
      <w:pPr>
        <w:spacing w:line="276" w:lineRule="auto"/>
        <w:jc w:val="distribute"/>
        <w:rPr>
          <w:rFonts w:ascii="Times New Roman" w:hAnsi="Times New Roman" w:eastAsia="方正黑体_GBK" w:cs="Times New Roman"/>
          <w:b/>
          <w:color w:val="auto"/>
          <w:sz w:val="52"/>
          <w:szCs w:val="52"/>
          <w:highlight w:val="none"/>
        </w:rPr>
      </w:pPr>
      <w:r>
        <w:rPr>
          <w:rFonts w:ascii="Times New Roman" w:hAnsi="Times New Roman" w:eastAsia="方正黑体_GBK" w:cs="Times New Roman"/>
          <w:b/>
          <w:color w:val="auto"/>
          <w:sz w:val="52"/>
          <w:szCs w:val="52"/>
          <w:highlight w:val="none"/>
        </w:rPr>
        <w:t>文</w:t>
      </w:r>
    </w:p>
    <w:p w14:paraId="1C457121">
      <w:pPr>
        <w:spacing w:line="276" w:lineRule="auto"/>
        <w:jc w:val="distribute"/>
        <w:rPr>
          <w:rFonts w:ascii="Times New Roman" w:hAnsi="Times New Roman" w:eastAsia="方正黑体_GBK" w:cs="Times New Roman"/>
          <w:b/>
          <w:color w:val="auto"/>
          <w:sz w:val="52"/>
          <w:szCs w:val="52"/>
          <w:highlight w:val="none"/>
        </w:rPr>
      </w:pPr>
      <w:r>
        <w:rPr>
          <w:rFonts w:ascii="Times New Roman" w:hAnsi="Times New Roman" w:eastAsia="方正黑体_GBK" w:cs="Times New Roman"/>
          <w:b/>
          <w:color w:val="auto"/>
          <w:sz w:val="52"/>
          <w:szCs w:val="52"/>
          <w:highlight w:val="none"/>
        </w:rPr>
        <w:t>件</w:t>
      </w:r>
    </w:p>
    <w:p w14:paraId="34DEADBF">
      <w:pPr>
        <w:spacing w:line="900" w:lineRule="exact"/>
        <w:jc w:val="center"/>
        <w:rPr>
          <w:rFonts w:hint="eastAsia" w:ascii="Times New Roman" w:hAnsi="Times New Roman" w:cs="Times New Roman" w:eastAsiaTheme="minorEastAsia"/>
          <w:b/>
          <w:color w:val="auto"/>
          <w:sz w:val="30"/>
          <w:szCs w:val="30"/>
          <w:highlight w:val="none"/>
          <w:lang w:eastAsia="zh-CN"/>
        </w:rPr>
      </w:pPr>
    </w:p>
    <w:p w14:paraId="54A7D486">
      <w:pPr>
        <w:spacing w:after="120" w:afterLines="50"/>
        <w:rPr>
          <w:rFonts w:ascii="Times New Roman" w:hAnsi="Times New Roman" w:eastAsia="方正黑体_GBK" w:cs="Times New Roman"/>
          <w:b/>
          <w:color w:val="auto"/>
          <w:sz w:val="72"/>
          <w:highlight w:val="none"/>
        </w:rPr>
      </w:pPr>
    </w:p>
    <w:p w14:paraId="36BE2EA9">
      <w:pPr>
        <w:spacing w:after="120" w:afterLines="50"/>
        <w:rPr>
          <w:rFonts w:ascii="Times New Roman" w:hAnsi="Times New Roman" w:eastAsia="方正黑体_GBK" w:cs="Times New Roman"/>
          <w:b/>
          <w:color w:val="auto"/>
          <w:sz w:val="72"/>
          <w:highlight w:val="none"/>
        </w:rPr>
      </w:pPr>
    </w:p>
    <w:p w14:paraId="4590F25E">
      <w:pPr>
        <w:tabs>
          <w:tab w:val="left" w:pos="5641"/>
        </w:tabs>
        <w:spacing w:after="120" w:afterLines="50" w:line="500" w:lineRule="exact"/>
        <w:ind w:firstLine="1979" w:firstLineChars="618"/>
        <w:rPr>
          <w:rFonts w:ascii="Times New Roman" w:hAnsi="Times New Roman" w:eastAsia="方正黑体_GBK" w:cs="Times New Roman"/>
          <w:b/>
          <w:color w:val="auto"/>
          <w:sz w:val="32"/>
          <w:highlight w:val="none"/>
        </w:rPr>
      </w:pPr>
      <w:r>
        <w:rPr>
          <w:rFonts w:hint="eastAsia" w:ascii="Times New Roman" w:hAnsi="Times New Roman" w:eastAsia="方正黑体_GBK" w:cs="Times New Roman"/>
          <w:b/>
          <w:color w:val="auto"/>
          <w:sz w:val="32"/>
          <w:highlight w:val="none"/>
        </w:rPr>
        <w:tab/>
      </w:r>
    </w:p>
    <w:p w14:paraId="64AEEA3F">
      <w:pPr>
        <w:spacing w:after="120" w:afterLines="50" w:line="500" w:lineRule="exact"/>
        <w:ind w:firstLine="1979" w:firstLineChars="618"/>
        <w:rPr>
          <w:rFonts w:ascii="Times New Roman" w:hAnsi="Times New Roman" w:eastAsia="方正黑体_GBK" w:cs="Times New Roman"/>
          <w:b/>
          <w:color w:val="auto"/>
          <w:sz w:val="32"/>
          <w:highlight w:val="none"/>
        </w:rPr>
      </w:pPr>
    </w:p>
    <w:p w14:paraId="255D5485">
      <w:pPr>
        <w:spacing w:after="120" w:afterLines="50" w:line="500" w:lineRule="exact"/>
        <w:ind w:firstLine="1979" w:firstLineChars="618"/>
        <w:rPr>
          <w:rFonts w:ascii="Times New Roman" w:hAnsi="Times New Roman" w:eastAsia="方正黑体_GBK" w:cs="Times New Roman"/>
          <w:b/>
          <w:color w:val="auto"/>
          <w:sz w:val="32"/>
          <w:highlight w:val="none"/>
        </w:rPr>
      </w:pPr>
      <w:r>
        <w:rPr>
          <w:rFonts w:ascii="Times New Roman" w:hAnsi="Times New Roman" w:eastAsia="方正黑体_GBK" w:cs="Times New Roman"/>
          <w:b/>
          <w:color w:val="auto"/>
          <w:sz w:val="32"/>
          <w:highlight w:val="none"/>
        </w:rPr>
        <w:t>招标人：重庆财经学院</w:t>
      </w:r>
    </w:p>
    <w:p w14:paraId="3F3D144A">
      <w:pPr>
        <w:spacing w:after="120" w:afterLines="50" w:line="500" w:lineRule="exact"/>
        <w:ind w:firstLine="1979" w:firstLineChars="618"/>
        <w:rPr>
          <w:rFonts w:ascii="Times New Roman" w:hAnsi="Times New Roman" w:eastAsia="方正黑体_GBK" w:cs="Times New Roman"/>
          <w:b/>
          <w:color w:val="auto"/>
          <w:sz w:val="32"/>
          <w:highlight w:val="none"/>
        </w:rPr>
      </w:pPr>
      <w:r>
        <w:rPr>
          <w:rFonts w:ascii="Times New Roman" w:hAnsi="Times New Roman" w:eastAsia="方正黑体_GBK" w:cs="Times New Roman"/>
          <w:b/>
          <w:color w:val="auto"/>
          <w:sz w:val="32"/>
          <w:highlight w:val="none"/>
        </w:rPr>
        <w:t>招标日期：202</w:t>
      </w:r>
      <w:r>
        <w:rPr>
          <w:rFonts w:hint="eastAsia" w:ascii="Times New Roman" w:hAnsi="Times New Roman" w:eastAsia="方正黑体_GBK" w:cs="Times New Roman"/>
          <w:b/>
          <w:color w:val="auto"/>
          <w:sz w:val="32"/>
          <w:highlight w:val="none"/>
          <w:lang w:val="en-US" w:eastAsia="zh-CN"/>
        </w:rPr>
        <w:t>5</w:t>
      </w:r>
      <w:r>
        <w:rPr>
          <w:rFonts w:ascii="Times New Roman" w:hAnsi="Times New Roman" w:eastAsia="方正黑体_GBK" w:cs="Times New Roman"/>
          <w:b/>
          <w:color w:val="auto"/>
          <w:sz w:val="32"/>
          <w:highlight w:val="none"/>
        </w:rPr>
        <w:t>年</w:t>
      </w:r>
      <w:r>
        <w:rPr>
          <w:rFonts w:hint="eastAsia" w:ascii="Times New Roman" w:hAnsi="Times New Roman" w:eastAsia="方正黑体_GBK" w:cs="Times New Roman"/>
          <w:b/>
          <w:color w:val="auto"/>
          <w:sz w:val="32"/>
          <w:highlight w:val="none"/>
          <w:lang w:val="en-US" w:eastAsia="zh-CN"/>
        </w:rPr>
        <w:t>11</w:t>
      </w:r>
      <w:r>
        <w:rPr>
          <w:rFonts w:ascii="Times New Roman" w:hAnsi="Times New Roman" w:eastAsia="方正黑体_GBK" w:cs="Times New Roman"/>
          <w:b/>
          <w:color w:val="auto"/>
          <w:sz w:val="32"/>
          <w:highlight w:val="none"/>
        </w:rPr>
        <w:t>月</w:t>
      </w:r>
      <w:r>
        <w:rPr>
          <w:rFonts w:hint="eastAsia" w:ascii="Times New Roman" w:hAnsi="Times New Roman" w:eastAsia="方正黑体_GBK" w:cs="Times New Roman"/>
          <w:b/>
          <w:color w:val="auto"/>
          <w:sz w:val="32"/>
          <w:highlight w:val="none"/>
          <w:lang w:val="en-US" w:eastAsia="zh-CN"/>
        </w:rPr>
        <w:t>7</w:t>
      </w:r>
      <w:r>
        <w:rPr>
          <w:rFonts w:ascii="Times New Roman" w:hAnsi="Times New Roman" w:eastAsia="方正黑体_GBK" w:cs="Times New Roman"/>
          <w:b/>
          <w:color w:val="auto"/>
          <w:sz w:val="32"/>
          <w:highlight w:val="none"/>
        </w:rPr>
        <w:t>日</w:t>
      </w:r>
    </w:p>
    <w:p w14:paraId="079325BC">
      <w:pPr>
        <w:pStyle w:val="194"/>
        <w:jc w:val="center"/>
        <w:rPr>
          <w:rFonts w:ascii="Times New Roman" w:hAnsi="Times New Roman" w:eastAsia="宋体" w:cs="Times New Roman"/>
          <w:b w:val="0"/>
          <w:bCs w:val="0"/>
          <w:color w:val="auto"/>
          <w:kern w:val="2"/>
          <w:sz w:val="36"/>
          <w:szCs w:val="36"/>
          <w:highlight w:val="none"/>
          <w:lang w:val="zh-CN"/>
        </w:rPr>
      </w:pPr>
    </w:p>
    <w:sdt>
      <w:sdtPr>
        <w:rPr>
          <w:rFonts w:ascii="Times New Roman" w:hAnsi="Times New Roman" w:eastAsia="宋体" w:cs="Times New Roman"/>
          <w:b w:val="0"/>
          <w:bCs w:val="0"/>
          <w:color w:val="auto"/>
          <w:kern w:val="2"/>
          <w:sz w:val="36"/>
          <w:szCs w:val="36"/>
          <w:highlight w:val="none"/>
          <w:lang w:val="zh-CN"/>
        </w:rPr>
        <w:id w:val="99690147"/>
      </w:sdtPr>
      <w:sdtEndPr>
        <w:rPr>
          <w:rFonts w:ascii="Times New Roman" w:hAnsi="Times New Roman" w:eastAsia="方正黑体_GBK" w:cs="Times New Roman"/>
          <w:b w:val="0"/>
          <w:bCs w:val="0"/>
          <w:color w:val="auto"/>
          <w:kern w:val="2"/>
          <w:sz w:val="24"/>
          <w:szCs w:val="24"/>
          <w:highlight w:val="none"/>
          <w:lang w:val="zh-CN"/>
        </w:rPr>
      </w:sdtEndPr>
      <w:sdtContent>
        <w:sdt>
          <w:sdtPr>
            <w:rPr>
              <w:rFonts w:hint="eastAsia" w:ascii="宋体" w:hAnsi="宋体" w:eastAsia="宋体" w:cs="宋体"/>
              <w:b w:val="0"/>
              <w:bCs w:val="0"/>
              <w:color w:val="auto"/>
              <w:kern w:val="2"/>
              <w:sz w:val="36"/>
              <w:szCs w:val="36"/>
              <w:highlight w:val="none"/>
              <w:lang w:val="zh-CN"/>
            </w:rPr>
            <w:id w:val="147462012"/>
          </w:sdtPr>
          <w:sdtEndPr>
            <w:rPr>
              <w:rFonts w:hint="eastAsia" w:ascii="方正黑体_GBK" w:hAnsi="方正黑体_GBK" w:eastAsia="方正黑体_GBK" w:cs="方正黑体_GBK"/>
              <w:b w:val="0"/>
              <w:bCs w:val="0"/>
              <w:color w:val="auto"/>
              <w:kern w:val="2"/>
              <w:sz w:val="24"/>
              <w:szCs w:val="24"/>
              <w:highlight w:val="none"/>
              <w:lang w:val="zh-CN"/>
            </w:rPr>
          </w:sdtEndPr>
          <w:sdtContent>
            <w:p w14:paraId="75851451">
              <w:pPr>
                <w:pStyle w:val="194"/>
                <w:jc w:val="center"/>
                <w:rPr>
                  <w:rFonts w:hint="eastAsia" w:ascii="宋体" w:hAnsi="宋体" w:eastAsia="宋体" w:cs="宋体"/>
                  <w:color w:val="auto"/>
                  <w:sz w:val="36"/>
                  <w:szCs w:val="36"/>
                  <w:highlight w:val="none"/>
                  <w:lang w:val="zh-CN"/>
                </w:rPr>
              </w:pPr>
              <w:r>
                <w:rPr>
                  <w:rFonts w:hint="eastAsia" w:ascii="宋体" w:hAnsi="宋体" w:eastAsia="宋体" w:cs="宋体"/>
                  <w:color w:val="auto"/>
                  <w:sz w:val="36"/>
                  <w:szCs w:val="36"/>
                  <w:highlight w:val="none"/>
                  <w:lang w:val="zh-CN"/>
                </w:rPr>
                <w:t>目录</w:t>
              </w:r>
            </w:p>
            <w:p w14:paraId="094095FE">
              <w:pPr>
                <w:rPr>
                  <w:color w:val="auto"/>
                  <w:highlight w:val="none"/>
                  <w:lang w:val="zh-CN"/>
                </w:rPr>
              </w:pPr>
            </w:p>
            <w:p w14:paraId="3363B498">
              <w:pPr>
                <w:rPr>
                  <w:color w:val="auto"/>
                  <w:highlight w:val="none"/>
                </w:rPr>
              </w:pPr>
            </w:p>
            <w:p w14:paraId="7D8666F6">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fldChar w:fldCharType="begin"/>
              </w:r>
              <w:r>
                <w:rPr>
                  <w:rFonts w:hint="eastAsia" w:ascii="方正黑体_GBK" w:hAnsi="方正黑体_GBK" w:eastAsia="方正黑体_GBK" w:cs="方正黑体_GBK"/>
                  <w:color w:val="auto"/>
                  <w:sz w:val="24"/>
                  <w:szCs w:val="24"/>
                  <w:highlight w:val="none"/>
                </w:rPr>
                <w:instrText xml:space="preserve"> TOC \o "1-3" \h \z \u </w:instrText>
              </w:r>
              <w:r>
                <w:rPr>
                  <w:rFonts w:hint="eastAsia" w:ascii="方正黑体_GBK" w:hAnsi="方正黑体_GBK" w:eastAsia="方正黑体_GBK" w:cs="方正黑体_GBK"/>
                  <w:color w:val="auto"/>
                  <w:sz w:val="24"/>
                  <w:szCs w:val="24"/>
                  <w:highlight w:val="none"/>
                </w:rPr>
                <w:fldChar w:fldCharType="separate"/>
              </w:r>
              <w:r>
                <w:rPr>
                  <w:color w:val="auto"/>
                  <w:highlight w:val="none"/>
                </w:rPr>
                <w:fldChar w:fldCharType="begin"/>
              </w:r>
              <w:r>
                <w:rPr>
                  <w:color w:val="auto"/>
                  <w:highlight w:val="none"/>
                </w:rPr>
                <w:instrText xml:space="preserve"> HYPERLINK \l "_Toc531594733" </w:instrText>
              </w:r>
              <w:r>
                <w:rPr>
                  <w:color w:val="auto"/>
                  <w:highlight w:val="none"/>
                </w:rPr>
                <w:fldChar w:fldCharType="separate"/>
              </w:r>
              <w:r>
                <w:rPr>
                  <w:rStyle w:val="48"/>
                  <w:rFonts w:hint="eastAsia" w:ascii="方正黑体_GBK" w:hAnsi="方正黑体_GBK" w:eastAsia="方正黑体_GBK" w:cs="方正黑体_GBK"/>
                  <w:color w:val="auto"/>
                  <w:sz w:val="24"/>
                  <w:szCs w:val="24"/>
                  <w:highlight w:val="none"/>
                </w:rPr>
                <w:t>第一章 招标公告</w:t>
              </w:r>
              <w:r>
                <w:rPr>
                  <w:rFonts w:hint="eastAsia" w:ascii="方正黑体_GBK" w:hAnsi="方正黑体_GBK" w:eastAsia="方正黑体_GBK" w:cs="方正黑体_GBK"/>
                  <w:color w:val="auto"/>
                  <w:sz w:val="24"/>
                  <w:szCs w:val="24"/>
                  <w:highlight w:val="none"/>
                </w:rPr>
                <w:tab/>
              </w:r>
              <w:r>
                <w:rPr>
                  <w:rFonts w:hint="eastAsia" w:ascii="方正黑体_GBK" w:hAnsi="方正黑体_GBK" w:eastAsia="方正黑体_GBK" w:cs="方正黑体_GBK"/>
                  <w:color w:val="auto"/>
                  <w:sz w:val="24"/>
                  <w:szCs w:val="24"/>
                  <w:highlight w:val="none"/>
                </w:rPr>
                <w:fldChar w:fldCharType="end"/>
              </w:r>
              <w:r>
                <w:rPr>
                  <w:rFonts w:hint="eastAsia" w:ascii="方正黑体_GBK" w:hAnsi="方正黑体_GBK" w:eastAsia="方正黑体_GBK" w:cs="方正黑体_GBK"/>
                  <w:color w:val="auto"/>
                  <w:sz w:val="24"/>
                  <w:szCs w:val="24"/>
                  <w:highlight w:val="none"/>
                </w:rPr>
                <w:t>3</w:t>
              </w:r>
            </w:p>
            <w:p w14:paraId="0EF5A910">
              <w:pPr>
                <w:rPr>
                  <w:rFonts w:hint="eastAsia" w:ascii="方正黑体_GBK" w:hAnsi="方正黑体_GBK" w:eastAsia="方正黑体_GBK" w:cs="方正黑体_GBK"/>
                  <w:color w:val="auto"/>
                  <w:szCs w:val="24"/>
                  <w:highlight w:val="none"/>
                </w:rPr>
              </w:pPr>
            </w:p>
            <w:p w14:paraId="66519FB9">
              <w:pPr>
                <w:rPr>
                  <w:rFonts w:hint="eastAsia" w:ascii="方正黑体_GBK" w:hAnsi="方正黑体_GBK" w:eastAsia="方正黑体_GBK" w:cs="方正黑体_GBK"/>
                  <w:color w:val="auto"/>
                  <w:szCs w:val="24"/>
                  <w:highlight w:val="none"/>
                </w:rPr>
              </w:pPr>
            </w:p>
            <w:p w14:paraId="1DF554A3">
              <w:pPr>
                <w:rPr>
                  <w:rFonts w:hint="eastAsia" w:ascii="方正黑体_GBK" w:hAnsi="方正黑体_GBK" w:eastAsia="方正黑体_GBK" w:cs="方正黑体_GBK"/>
                  <w:color w:val="auto"/>
                  <w:szCs w:val="24"/>
                  <w:highlight w:val="none"/>
                </w:rPr>
              </w:pPr>
            </w:p>
            <w:p w14:paraId="300F39E2">
              <w:pPr>
                <w:rPr>
                  <w:rFonts w:hint="eastAsia" w:ascii="方正黑体_GBK" w:hAnsi="方正黑体_GBK" w:eastAsia="方正黑体_GBK" w:cs="方正黑体_GBK"/>
                  <w:color w:val="auto"/>
                  <w:szCs w:val="24"/>
                  <w:highlight w:val="none"/>
                </w:rPr>
              </w:pPr>
            </w:p>
            <w:p w14:paraId="283361B2">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color w:val="auto"/>
                  <w:highlight w:val="none"/>
                </w:rPr>
                <w:fldChar w:fldCharType="begin"/>
              </w:r>
              <w:r>
                <w:rPr>
                  <w:color w:val="auto"/>
                  <w:highlight w:val="none"/>
                </w:rPr>
                <w:instrText xml:space="preserve"> HYPERLINK \l "_Toc531594734" </w:instrText>
              </w:r>
              <w:r>
                <w:rPr>
                  <w:color w:val="auto"/>
                  <w:highlight w:val="none"/>
                </w:rPr>
                <w:fldChar w:fldCharType="separate"/>
              </w:r>
              <w:r>
                <w:rPr>
                  <w:rStyle w:val="48"/>
                  <w:rFonts w:hint="eastAsia" w:ascii="方正黑体_GBK" w:hAnsi="方正黑体_GBK" w:eastAsia="方正黑体_GBK" w:cs="方正黑体_GBK"/>
                  <w:color w:val="auto"/>
                  <w:sz w:val="24"/>
                  <w:szCs w:val="24"/>
                  <w:highlight w:val="none"/>
                </w:rPr>
                <w:t>第二章 投标人需知</w:t>
              </w:r>
              <w:r>
                <w:rPr>
                  <w:rFonts w:hint="eastAsia" w:ascii="方正黑体_GBK" w:hAnsi="方正黑体_GBK" w:eastAsia="方正黑体_GBK" w:cs="方正黑体_GBK"/>
                  <w:color w:val="auto"/>
                  <w:sz w:val="24"/>
                  <w:szCs w:val="24"/>
                  <w:highlight w:val="none"/>
                </w:rPr>
                <w:tab/>
              </w:r>
              <w:r>
                <w:rPr>
                  <w:rFonts w:hint="eastAsia" w:ascii="方正黑体_GBK" w:hAnsi="方正黑体_GBK" w:eastAsia="方正黑体_GBK" w:cs="方正黑体_GBK"/>
                  <w:color w:val="auto"/>
                  <w:sz w:val="24"/>
                  <w:szCs w:val="24"/>
                  <w:highlight w:val="none"/>
                </w:rPr>
                <w:fldChar w:fldCharType="end"/>
              </w:r>
              <w:r>
                <w:rPr>
                  <w:rFonts w:hint="eastAsia" w:ascii="方正黑体_GBK" w:hAnsi="方正黑体_GBK" w:eastAsia="方正黑体_GBK" w:cs="方正黑体_GBK"/>
                  <w:color w:val="auto"/>
                  <w:sz w:val="24"/>
                  <w:szCs w:val="24"/>
                  <w:highlight w:val="none"/>
                </w:rPr>
                <w:t>5</w:t>
              </w:r>
            </w:p>
            <w:p w14:paraId="3441099E">
              <w:pPr>
                <w:rPr>
                  <w:rFonts w:hint="eastAsia" w:ascii="方正黑体_GBK" w:hAnsi="方正黑体_GBK" w:eastAsia="方正黑体_GBK" w:cs="方正黑体_GBK"/>
                  <w:color w:val="auto"/>
                  <w:szCs w:val="24"/>
                  <w:highlight w:val="none"/>
                </w:rPr>
              </w:pPr>
            </w:p>
            <w:p w14:paraId="6ED37BBA">
              <w:pPr>
                <w:rPr>
                  <w:rFonts w:hint="eastAsia" w:ascii="方正黑体_GBK" w:hAnsi="方正黑体_GBK" w:eastAsia="方正黑体_GBK" w:cs="方正黑体_GBK"/>
                  <w:color w:val="auto"/>
                  <w:szCs w:val="24"/>
                  <w:highlight w:val="none"/>
                </w:rPr>
              </w:pPr>
            </w:p>
            <w:p w14:paraId="6105D325">
              <w:pPr>
                <w:rPr>
                  <w:rFonts w:hint="eastAsia" w:ascii="方正黑体_GBK" w:hAnsi="方正黑体_GBK" w:eastAsia="方正黑体_GBK" w:cs="方正黑体_GBK"/>
                  <w:color w:val="auto"/>
                  <w:szCs w:val="24"/>
                  <w:highlight w:val="none"/>
                </w:rPr>
              </w:pPr>
            </w:p>
            <w:p w14:paraId="44CF0476">
              <w:pPr>
                <w:rPr>
                  <w:rFonts w:hint="eastAsia" w:ascii="方正黑体_GBK" w:hAnsi="方正黑体_GBK" w:eastAsia="方正黑体_GBK" w:cs="方正黑体_GBK"/>
                  <w:color w:val="auto"/>
                  <w:szCs w:val="24"/>
                  <w:highlight w:val="none"/>
                </w:rPr>
              </w:pPr>
            </w:p>
            <w:p w14:paraId="41272192">
              <w:pPr>
                <w:pStyle w:val="30"/>
                <w:tabs>
                  <w:tab w:val="right" w:leader="dot" w:pos="8255"/>
                </w:tabs>
                <w:rPr>
                  <w:rStyle w:val="48"/>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u w:val="none"/>
                </w:rPr>
                <w:fldChar w:fldCharType="begin"/>
              </w:r>
              <w:r>
                <w:rPr>
                  <w:rFonts w:hint="eastAsia" w:ascii="方正黑体_GBK" w:hAnsi="方正黑体_GBK" w:eastAsia="方正黑体_GBK" w:cs="方正黑体_GBK"/>
                  <w:color w:val="auto"/>
                  <w:sz w:val="24"/>
                  <w:szCs w:val="24"/>
                  <w:highlight w:val="none"/>
                  <w:u w:val="none"/>
                </w:rPr>
                <w:instrText xml:space="preserve"> HYPERLINK \l "_第三章 招标数量及参数要求" </w:instrText>
              </w:r>
              <w:r>
                <w:rPr>
                  <w:rFonts w:hint="eastAsia" w:ascii="方正黑体_GBK" w:hAnsi="方正黑体_GBK" w:eastAsia="方正黑体_GBK" w:cs="方正黑体_GBK"/>
                  <w:color w:val="auto"/>
                  <w:sz w:val="24"/>
                  <w:szCs w:val="24"/>
                  <w:highlight w:val="none"/>
                  <w:u w:val="none"/>
                </w:rPr>
                <w:fldChar w:fldCharType="separate"/>
              </w:r>
              <w:r>
                <w:rPr>
                  <w:rStyle w:val="48"/>
                  <w:rFonts w:hint="eastAsia" w:ascii="方正黑体_GBK" w:hAnsi="方正黑体_GBK" w:eastAsia="方正黑体_GBK" w:cs="方正黑体_GBK"/>
                  <w:color w:val="auto"/>
                  <w:sz w:val="24"/>
                  <w:szCs w:val="24"/>
                  <w:highlight w:val="none"/>
                </w:rPr>
                <w:t>第三章 招标数量及参数要求</w:t>
              </w:r>
              <w:r>
                <w:rPr>
                  <w:rStyle w:val="48"/>
                  <w:rFonts w:hint="eastAsia" w:ascii="方正黑体_GBK" w:hAnsi="方正黑体_GBK" w:eastAsia="方正黑体_GBK" w:cs="方正黑体_GBK"/>
                  <w:color w:val="auto"/>
                  <w:sz w:val="24"/>
                  <w:szCs w:val="24"/>
                  <w:highlight w:val="none"/>
                </w:rPr>
                <w:tab/>
              </w:r>
              <w:r>
                <w:rPr>
                  <w:rStyle w:val="48"/>
                  <w:rFonts w:hint="eastAsia" w:ascii="方正黑体_GBK" w:hAnsi="方正黑体_GBK" w:eastAsia="方正黑体_GBK" w:cs="方正黑体_GBK"/>
                  <w:color w:val="auto"/>
                  <w:sz w:val="24"/>
                  <w:szCs w:val="24"/>
                  <w:highlight w:val="none"/>
                </w:rPr>
                <w:t>2</w:t>
              </w:r>
              <w:r>
                <w:rPr>
                  <w:rStyle w:val="48"/>
                  <w:rFonts w:hint="eastAsia" w:ascii="方正黑体_GBK" w:hAnsi="方正黑体_GBK" w:eastAsia="方正黑体_GBK" w:cs="方正黑体_GBK"/>
                  <w:color w:val="auto"/>
                  <w:sz w:val="24"/>
                  <w:szCs w:val="24"/>
                  <w:highlight w:val="none"/>
                  <w:lang w:val="en-US" w:eastAsia="zh-CN"/>
                </w:rPr>
                <w:t>2</w:t>
              </w:r>
            </w:p>
            <w:p w14:paraId="6D13B6F5">
              <w:pPr>
                <w:rPr>
                  <w:rFonts w:hint="eastAsia" w:ascii="方正黑体_GBK" w:hAnsi="方正黑体_GBK" w:eastAsia="方正黑体_GBK" w:cs="方正黑体_GBK"/>
                  <w:color w:val="auto"/>
                  <w:szCs w:val="24"/>
                  <w:highlight w:val="none"/>
                </w:rPr>
              </w:pPr>
              <w:r>
                <w:rPr>
                  <w:rFonts w:hint="eastAsia" w:ascii="方正黑体_GBK" w:hAnsi="方正黑体_GBK" w:eastAsia="方正黑体_GBK" w:cs="方正黑体_GBK"/>
                  <w:color w:val="auto"/>
                  <w:sz w:val="24"/>
                  <w:szCs w:val="24"/>
                  <w:highlight w:val="none"/>
                  <w:u w:val="none"/>
                </w:rPr>
                <w:fldChar w:fldCharType="end"/>
              </w:r>
            </w:p>
            <w:p w14:paraId="58B18A73">
              <w:pPr>
                <w:rPr>
                  <w:rFonts w:hint="eastAsia" w:ascii="方正黑体_GBK" w:hAnsi="方正黑体_GBK" w:eastAsia="方正黑体_GBK" w:cs="方正黑体_GBK"/>
                  <w:color w:val="auto"/>
                  <w:szCs w:val="24"/>
                  <w:highlight w:val="none"/>
                </w:rPr>
              </w:pPr>
            </w:p>
            <w:p w14:paraId="4B22992D">
              <w:pPr>
                <w:rPr>
                  <w:rFonts w:hint="eastAsia" w:ascii="方正黑体_GBK" w:hAnsi="方正黑体_GBK" w:eastAsia="方正黑体_GBK" w:cs="方正黑体_GBK"/>
                  <w:color w:val="auto"/>
                  <w:szCs w:val="24"/>
                  <w:highlight w:val="none"/>
                </w:rPr>
              </w:pPr>
            </w:p>
            <w:p w14:paraId="7318132B">
              <w:pPr>
                <w:rPr>
                  <w:rFonts w:hint="eastAsia" w:ascii="方正黑体_GBK" w:hAnsi="方正黑体_GBK" w:eastAsia="方正黑体_GBK" w:cs="方正黑体_GBK"/>
                  <w:color w:val="auto"/>
                  <w:szCs w:val="24"/>
                  <w:highlight w:val="none"/>
                </w:rPr>
              </w:pPr>
            </w:p>
            <w:p w14:paraId="7E544C0A">
              <w:pPr>
                <w:pStyle w:val="30"/>
                <w:tabs>
                  <w:tab w:val="right" w:leader="dot" w:pos="8255"/>
                </w:tabs>
                <w:rPr>
                  <w:rFonts w:hint="eastAsia" w:ascii="方正黑体_GBK" w:hAnsi="方正黑体_GBK" w:eastAsia="方正黑体_GBK" w:cs="方正黑体_GBK"/>
                  <w:color w:val="auto"/>
                  <w:szCs w:val="24"/>
                  <w:highlight w:val="none"/>
                </w:rPr>
              </w:pPr>
            </w:p>
            <w:p w14:paraId="63286E9C">
              <w:pPr>
                <w:pStyle w:val="30"/>
                <w:tabs>
                  <w:tab w:val="right" w:leader="dot" w:pos="8255"/>
                </w:tabs>
                <w:rPr>
                  <w:rFonts w:hint="eastAsia" w:ascii="方正黑体_GBK" w:hAnsi="方正黑体_GBK" w:eastAsia="方正黑体_GBK" w:cs="方正黑体_GBK"/>
                  <w:color w:val="auto"/>
                  <w:sz w:val="24"/>
                  <w:szCs w:val="24"/>
                  <w:highlight w:val="none"/>
                  <w:lang w:val="en-US" w:eastAsia="zh-CN"/>
                </w:rPr>
              </w:pPr>
              <w:r>
                <w:rPr>
                  <w:color w:val="auto"/>
                  <w:highlight w:val="none"/>
                </w:rPr>
                <w:fldChar w:fldCharType="begin"/>
              </w:r>
              <w:r>
                <w:rPr>
                  <w:color w:val="auto"/>
                  <w:highlight w:val="none"/>
                </w:rPr>
                <w:instrText xml:space="preserve"> HYPERLINK \l "_Toc531594799" </w:instrText>
              </w:r>
              <w:r>
                <w:rPr>
                  <w:color w:val="auto"/>
                  <w:highlight w:val="none"/>
                </w:rPr>
                <w:fldChar w:fldCharType="separate"/>
              </w:r>
              <w:r>
                <w:rPr>
                  <w:rStyle w:val="48"/>
                  <w:rFonts w:hint="eastAsia" w:ascii="方正黑体_GBK" w:hAnsi="方正黑体_GBK" w:eastAsia="方正黑体_GBK" w:cs="方正黑体_GBK"/>
                  <w:color w:val="auto"/>
                  <w:sz w:val="24"/>
                  <w:szCs w:val="24"/>
                  <w:highlight w:val="none"/>
                </w:rPr>
                <w:t>第</w:t>
              </w:r>
              <w:r>
                <w:rPr>
                  <w:rStyle w:val="48"/>
                  <w:rFonts w:hint="eastAsia" w:ascii="方正黑体_GBK" w:hAnsi="方正黑体_GBK" w:eastAsia="方正黑体_GBK" w:cs="方正黑体_GBK"/>
                  <w:color w:val="auto"/>
                  <w:sz w:val="24"/>
                  <w:szCs w:val="24"/>
                  <w:highlight w:val="none"/>
                  <w:lang w:eastAsia="zh-CN"/>
                </w:rPr>
                <w:t>四</w:t>
              </w:r>
              <w:r>
                <w:rPr>
                  <w:rStyle w:val="48"/>
                  <w:rFonts w:hint="eastAsia" w:ascii="方正黑体_GBK" w:hAnsi="方正黑体_GBK" w:eastAsia="方正黑体_GBK" w:cs="方正黑体_GBK"/>
                  <w:color w:val="auto"/>
                  <w:sz w:val="24"/>
                  <w:szCs w:val="24"/>
                  <w:highlight w:val="none"/>
                </w:rPr>
                <w:t>章 评标原则</w:t>
              </w:r>
              <w:r>
                <w:rPr>
                  <w:rFonts w:hint="eastAsia" w:ascii="方正黑体_GBK" w:hAnsi="方正黑体_GBK" w:eastAsia="方正黑体_GBK" w:cs="方正黑体_GBK"/>
                  <w:color w:val="auto"/>
                  <w:sz w:val="24"/>
                  <w:szCs w:val="24"/>
                  <w:highlight w:val="none"/>
                </w:rPr>
                <w:tab/>
              </w:r>
              <w:r>
                <w:rPr>
                  <w:rFonts w:hint="eastAsia" w:ascii="方正黑体_GBK" w:hAnsi="方正黑体_GBK" w:eastAsia="方正黑体_GBK" w:cs="方正黑体_GBK"/>
                  <w:color w:val="auto"/>
                  <w:sz w:val="24"/>
                  <w:szCs w:val="24"/>
                  <w:highlight w:val="none"/>
                </w:rPr>
                <w:fldChar w:fldCharType="end"/>
              </w:r>
              <w:r>
                <w:rPr>
                  <w:rFonts w:hint="eastAsia" w:ascii="方正黑体_GBK" w:hAnsi="方正黑体_GBK" w:eastAsia="方正黑体_GBK" w:cs="方正黑体_GBK"/>
                  <w:color w:val="auto"/>
                  <w:sz w:val="24"/>
                  <w:szCs w:val="24"/>
                  <w:highlight w:val="none"/>
                  <w:lang w:val="en-US" w:eastAsia="zh-CN"/>
                </w:rPr>
                <w:t>27</w:t>
              </w:r>
            </w:p>
            <w:p w14:paraId="182F5F2D">
              <w:pPr>
                <w:pStyle w:val="30"/>
                <w:tabs>
                  <w:tab w:val="right" w:leader="dot" w:pos="8255"/>
                </w:tabs>
                <w:rPr>
                  <w:rFonts w:hint="eastAsia" w:ascii="方正黑体_GBK" w:hAnsi="方正黑体_GBK" w:eastAsia="方正黑体_GBK" w:cs="方正黑体_GBK"/>
                  <w:color w:val="auto"/>
                  <w:sz w:val="24"/>
                  <w:szCs w:val="24"/>
                  <w:highlight w:val="none"/>
                  <w:lang w:val="en-US" w:eastAsia="zh-CN"/>
                </w:rPr>
              </w:pPr>
            </w:p>
            <w:p w14:paraId="42762A9D">
              <w:pPr>
                <w:pStyle w:val="30"/>
                <w:tabs>
                  <w:tab w:val="right" w:leader="dot" w:pos="8255"/>
                </w:tabs>
                <w:rPr>
                  <w:rFonts w:hint="eastAsia" w:ascii="方正黑体_GBK" w:hAnsi="方正黑体_GBK" w:eastAsia="方正黑体_GBK" w:cs="方正黑体_GBK"/>
                  <w:color w:val="auto"/>
                  <w:sz w:val="24"/>
                  <w:szCs w:val="24"/>
                  <w:highlight w:val="none"/>
                  <w:lang w:val="en-US" w:eastAsia="zh-CN"/>
                </w:rPr>
              </w:pPr>
            </w:p>
            <w:p w14:paraId="4ABA3761">
              <w:pPr>
                <w:pStyle w:val="30"/>
                <w:tabs>
                  <w:tab w:val="right" w:leader="dot" w:pos="8255"/>
                </w:tabs>
                <w:rPr>
                  <w:rFonts w:hint="eastAsia" w:ascii="方正黑体_GBK" w:hAnsi="方正黑体_GBK" w:eastAsia="方正黑体_GBK" w:cs="方正黑体_GBK"/>
                  <w:color w:val="auto"/>
                  <w:sz w:val="24"/>
                  <w:szCs w:val="24"/>
                  <w:highlight w:val="none"/>
                  <w:lang w:val="en-US" w:eastAsia="zh-CN"/>
                </w:rPr>
              </w:pPr>
            </w:p>
            <w:p w14:paraId="3235589A">
              <w:pPr>
                <w:pStyle w:val="30"/>
                <w:tabs>
                  <w:tab w:val="right" w:leader="dot" w:pos="8255"/>
                </w:tabs>
                <w:rPr>
                  <w:rFonts w:hint="default" w:ascii="方正黑体_GBK" w:hAnsi="方正黑体_GBK" w:eastAsia="方正黑体_GBK" w:cs="方正黑体_GBK"/>
                  <w:color w:val="auto"/>
                  <w:sz w:val="24"/>
                  <w:szCs w:val="24"/>
                  <w:highlight w:val="none"/>
                  <w:lang w:val="en-US" w:eastAsia="zh-CN"/>
                </w:rPr>
              </w:pPr>
            </w:p>
            <w:p w14:paraId="03862F81">
              <w:pPr>
                <w:pStyle w:val="30"/>
                <w:tabs>
                  <w:tab w:val="right" w:leader="dot" w:pos="8255"/>
                </w:tabs>
                <w:outlineLvl w:val="9"/>
                <w:rPr>
                  <w:rStyle w:val="48"/>
                  <w:rFonts w:hint="default"/>
                  <w:color w:val="auto"/>
                  <w:highlight w:val="none"/>
                  <w:lang w:val="en-US" w:eastAsia="zh-CN"/>
                </w:rPr>
              </w:pPr>
              <w:r>
                <w:rPr>
                  <w:rFonts w:hint="eastAsia"/>
                  <w:color w:val="auto"/>
                  <w:highlight w:val="none"/>
                  <w:u w:val="single"/>
                </w:rPr>
                <w:fldChar w:fldCharType="begin"/>
              </w:r>
              <w:r>
                <w:rPr>
                  <w:rFonts w:hint="eastAsia"/>
                  <w:color w:val="auto"/>
                  <w:highlight w:val="none"/>
                  <w:u w:val="single"/>
                </w:rPr>
                <w:instrText xml:space="preserve"> HYPERLINK \l "_第五章 投标文件格式" </w:instrText>
              </w:r>
              <w:r>
                <w:rPr>
                  <w:rFonts w:hint="eastAsia"/>
                  <w:color w:val="auto"/>
                  <w:highlight w:val="none"/>
                  <w:u w:val="single"/>
                </w:rPr>
                <w:fldChar w:fldCharType="separate"/>
              </w:r>
              <w:r>
                <w:rPr>
                  <w:rStyle w:val="48"/>
                  <w:rFonts w:hint="eastAsia" w:ascii="方正黑体_GBK" w:hAnsi="方正黑体_GBK" w:eastAsia="方正黑体_GBK" w:cs="方正黑体_GBK"/>
                  <w:color w:val="auto"/>
                  <w:sz w:val="24"/>
                  <w:szCs w:val="24"/>
                  <w:highlight w:val="none"/>
                </w:rPr>
                <w:t>第</w:t>
              </w:r>
              <w:r>
                <w:rPr>
                  <w:rStyle w:val="48"/>
                  <w:rFonts w:hint="eastAsia" w:ascii="方正黑体_GBK" w:hAnsi="方正黑体_GBK" w:eastAsia="方正黑体_GBK" w:cs="方正黑体_GBK"/>
                  <w:color w:val="auto"/>
                  <w:sz w:val="24"/>
                  <w:szCs w:val="24"/>
                  <w:highlight w:val="none"/>
                  <w:lang w:eastAsia="zh-CN"/>
                </w:rPr>
                <w:t>五</w:t>
              </w:r>
              <w:r>
                <w:rPr>
                  <w:rStyle w:val="48"/>
                  <w:rFonts w:hint="eastAsia" w:ascii="方正黑体_GBK" w:hAnsi="方正黑体_GBK" w:eastAsia="方正黑体_GBK" w:cs="方正黑体_GBK"/>
                  <w:color w:val="auto"/>
                  <w:sz w:val="24"/>
                  <w:szCs w:val="24"/>
                  <w:highlight w:val="none"/>
                </w:rPr>
                <w:t>章 投标文件格式</w:t>
              </w:r>
              <w:r>
                <w:rPr>
                  <w:rStyle w:val="48"/>
                  <w:rFonts w:hint="eastAsia"/>
                  <w:color w:val="auto"/>
                  <w:highlight w:val="none"/>
                </w:rPr>
                <w:tab/>
              </w:r>
              <w:r>
                <w:rPr>
                  <w:rFonts w:hint="eastAsia"/>
                  <w:color w:val="auto"/>
                  <w:highlight w:val="none"/>
                  <w:u w:val="single"/>
                </w:rPr>
                <w:fldChar w:fldCharType="end"/>
              </w:r>
              <w:r>
                <w:rPr>
                  <w:rStyle w:val="48"/>
                  <w:rFonts w:hint="eastAsia"/>
                  <w:color w:val="auto"/>
                  <w:highlight w:val="none"/>
                  <w:lang w:val="en-US" w:eastAsia="zh-CN"/>
                </w:rPr>
                <w:t>30</w:t>
              </w:r>
            </w:p>
            <w:p w14:paraId="775D4E1E">
              <w:pPr>
                <w:rPr>
                  <w:rFonts w:ascii="Times New Roman" w:hAnsi="Times New Roman" w:eastAsia="方正黑体_GBK" w:cs="Times New Roman"/>
                  <w:b/>
                  <w:color w:val="auto"/>
                  <w:szCs w:val="24"/>
                  <w:highlight w:val="none"/>
                </w:rPr>
              </w:pPr>
              <w:r>
                <w:rPr>
                  <w:rFonts w:hint="eastAsia" w:ascii="方正黑体_GBK" w:hAnsi="方正黑体_GBK" w:eastAsia="方正黑体_GBK" w:cs="方正黑体_GBK"/>
                  <w:color w:val="auto"/>
                  <w:szCs w:val="24"/>
                  <w:highlight w:val="none"/>
                  <w:lang w:val="zh-CN"/>
                </w:rPr>
                <w:fldChar w:fldCharType="end"/>
              </w:r>
            </w:p>
          </w:sdtContent>
        </w:sdt>
      </w:sdtContent>
    </w:sdt>
    <w:p w14:paraId="56E6AE9E">
      <w:pPr>
        <w:pStyle w:val="2"/>
        <w:numPr>
          <w:ilvl w:val="0"/>
          <w:numId w:val="0"/>
        </w:numPr>
        <w:spacing w:before="0" w:after="0" w:line="440" w:lineRule="exact"/>
        <w:jc w:val="center"/>
        <w:rPr>
          <w:rFonts w:hint="eastAsia" w:ascii="方正小标宋_GBK" w:hAnsi="方正小标宋_GBK" w:eastAsia="方正小标宋_GBK" w:cs="方正小标宋_GBK"/>
          <w:b w:val="0"/>
          <w:bCs w:val="0"/>
          <w:color w:val="auto"/>
          <w:highlight w:val="none"/>
        </w:rPr>
      </w:pPr>
    </w:p>
    <w:p w14:paraId="751153B7">
      <w:pPr>
        <w:rPr>
          <w:rFonts w:hint="eastAsia" w:ascii="方正小标宋_GBK" w:hAnsi="方正小标宋_GBK" w:eastAsia="方正小标宋_GBK" w:cs="方正小标宋_GBK"/>
          <w:color w:val="auto"/>
          <w:highlight w:val="none"/>
        </w:rPr>
      </w:pPr>
    </w:p>
    <w:p w14:paraId="7B4D6867">
      <w:pPr>
        <w:rPr>
          <w:rFonts w:hint="eastAsia" w:ascii="方正小标宋_GBK" w:hAnsi="方正小标宋_GBK" w:eastAsia="方正小标宋_GBK" w:cs="方正小标宋_GBK"/>
          <w:color w:val="auto"/>
          <w:highlight w:val="none"/>
        </w:rPr>
      </w:pPr>
    </w:p>
    <w:p w14:paraId="207429E5">
      <w:pPr>
        <w:rPr>
          <w:rFonts w:hint="eastAsia" w:ascii="方正小标宋_GBK" w:hAnsi="方正小标宋_GBK" w:eastAsia="方正小标宋_GBK" w:cs="方正小标宋_GBK"/>
          <w:color w:val="auto"/>
          <w:highlight w:val="none"/>
        </w:rPr>
      </w:pPr>
    </w:p>
    <w:p w14:paraId="7A4E3ED7">
      <w:pPr>
        <w:rPr>
          <w:rFonts w:hint="eastAsia" w:ascii="方正小标宋_GBK" w:hAnsi="方正小标宋_GBK" w:eastAsia="方正小标宋_GBK" w:cs="方正小标宋_GBK"/>
          <w:color w:val="auto"/>
          <w:highlight w:val="none"/>
        </w:rPr>
      </w:pPr>
    </w:p>
    <w:p w14:paraId="74370848">
      <w:pPr>
        <w:rPr>
          <w:rFonts w:hint="eastAsia" w:ascii="方正小标宋_GBK" w:hAnsi="方正小标宋_GBK" w:eastAsia="方正小标宋_GBK" w:cs="方正小标宋_GBK"/>
          <w:color w:val="auto"/>
          <w:highlight w:val="none"/>
        </w:rPr>
      </w:pPr>
    </w:p>
    <w:p w14:paraId="36A400B6">
      <w:pPr>
        <w:rPr>
          <w:rFonts w:hint="eastAsia" w:ascii="方正小标宋_GBK" w:hAnsi="方正小标宋_GBK" w:eastAsia="方正小标宋_GBK" w:cs="方正小标宋_GBK"/>
          <w:color w:val="auto"/>
          <w:highlight w:val="none"/>
        </w:rPr>
      </w:pPr>
    </w:p>
    <w:p w14:paraId="53F75FE7">
      <w:pPr>
        <w:pStyle w:val="2"/>
        <w:numPr>
          <w:ilvl w:val="0"/>
          <w:numId w:val="0"/>
        </w:numPr>
        <w:spacing w:before="0" w:after="0" w:line="440" w:lineRule="exact"/>
        <w:jc w:val="center"/>
        <w:rPr>
          <w:rFonts w:hint="eastAsia" w:ascii="方正小标宋_GBK" w:hAnsi="方正小标宋_GBK" w:eastAsia="方正小标宋_GBK" w:cs="方正小标宋_GBK"/>
          <w:b w:val="0"/>
          <w:bCs w:val="0"/>
          <w:color w:val="auto"/>
          <w:highlight w:val="none"/>
        </w:rPr>
      </w:pPr>
      <w:r>
        <w:rPr>
          <w:rFonts w:hint="eastAsia" w:ascii="方正小标宋_GBK" w:hAnsi="方正小标宋_GBK" w:eastAsia="方正小标宋_GBK" w:cs="方正小标宋_GBK"/>
          <w:b w:val="0"/>
          <w:bCs w:val="0"/>
          <w:color w:val="auto"/>
          <w:highlight w:val="none"/>
        </w:rPr>
        <w:t>第一章 招标公告</w:t>
      </w:r>
    </w:p>
    <w:p w14:paraId="542701CD">
      <w:pPr>
        <w:spacing w:line="440" w:lineRule="exact"/>
        <w:ind w:firstLine="480" w:firstLineChars="200"/>
        <w:rPr>
          <w:color w:val="auto"/>
          <w:highlight w:val="none"/>
        </w:rPr>
      </w:pPr>
    </w:p>
    <w:p w14:paraId="40E38491">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ascii="Times New Roman" w:hAnsi="Times New Roman" w:eastAsia="方正仿宋_GBK" w:cs="Times New Roman"/>
          <w:color w:val="auto"/>
          <w:sz w:val="32"/>
          <w:szCs w:val="32"/>
          <w:highlight w:val="none"/>
          <w:u w:val="single"/>
        </w:rPr>
      </w:pPr>
      <w:r>
        <w:rPr>
          <w:rFonts w:ascii="Times New Roman" w:hAnsi="Times New Roman" w:eastAsia="方正仿宋_GBK" w:cs="Times New Roman"/>
          <w:color w:val="auto"/>
          <w:sz w:val="32"/>
          <w:szCs w:val="32"/>
          <w:highlight w:val="none"/>
          <w:u w:val="single"/>
        </w:rPr>
        <w:t>重庆财经学院</w:t>
      </w:r>
      <w:r>
        <w:rPr>
          <w:rFonts w:ascii="Times New Roman" w:hAnsi="Times New Roman" w:eastAsia="方正仿宋_GBK" w:cs="Times New Roman"/>
          <w:color w:val="auto"/>
          <w:sz w:val="32"/>
          <w:szCs w:val="32"/>
          <w:highlight w:val="none"/>
        </w:rPr>
        <w:t>（采购人）拟对“</w:t>
      </w:r>
      <w:r>
        <w:rPr>
          <w:rFonts w:hint="eastAsia" w:ascii="Times New Roman" w:hAnsi="Times New Roman" w:eastAsia="方正仿宋_GBK" w:cs="Times New Roman"/>
          <w:color w:val="auto"/>
          <w:sz w:val="32"/>
          <w:szCs w:val="32"/>
          <w:highlight w:val="none"/>
          <w:u w:val="single"/>
        </w:rPr>
        <w:t>重庆财经学院</w:t>
      </w:r>
      <w:r>
        <w:rPr>
          <w:rFonts w:hint="eastAsia" w:ascii="Times New Roman" w:hAnsi="Times New Roman" w:eastAsia="方正仿宋_GBK" w:cs="Times New Roman"/>
          <w:color w:val="auto"/>
          <w:sz w:val="32"/>
          <w:szCs w:val="32"/>
          <w:highlight w:val="none"/>
          <w:u w:val="single"/>
          <w:lang w:eastAsia="zh-CN"/>
        </w:rPr>
        <w:t>大数据审计分析教学平台采购</w:t>
      </w:r>
      <w:r>
        <w:rPr>
          <w:rFonts w:hint="eastAsia" w:ascii="Times New Roman" w:hAnsi="Times New Roman" w:eastAsia="方正仿宋_GBK" w:cs="Times New Roman"/>
          <w:color w:val="auto"/>
          <w:sz w:val="32"/>
          <w:szCs w:val="32"/>
          <w:highlight w:val="none"/>
          <w:u w:val="single"/>
        </w:rPr>
        <w:t>项目</w:t>
      </w:r>
      <w:r>
        <w:rPr>
          <w:rFonts w:ascii="Times New Roman" w:hAnsi="Times New Roman" w:eastAsia="方正仿宋_GBK" w:cs="Times New Roman"/>
          <w:color w:val="auto"/>
          <w:sz w:val="32"/>
          <w:szCs w:val="32"/>
          <w:highlight w:val="none"/>
        </w:rPr>
        <w:t>”进行国内公开招标，兹邀请符合本次招标要求的供应商参加投标。</w:t>
      </w:r>
    </w:p>
    <w:p w14:paraId="1ED425D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u w:val="single"/>
        </w:rPr>
      </w:pPr>
      <w:r>
        <w:rPr>
          <w:rFonts w:hint="eastAsia" w:ascii="方正楷体_GBK" w:hAnsi="方正楷体_GBK" w:eastAsia="方正楷体_GBK" w:cs="方正楷体_GBK"/>
          <w:color w:val="auto"/>
          <w:sz w:val="32"/>
          <w:szCs w:val="32"/>
          <w:highlight w:val="none"/>
        </w:rPr>
        <w:t>一、招标项目：</w:t>
      </w:r>
      <w:r>
        <w:rPr>
          <w:rFonts w:hint="eastAsia" w:ascii="Times New Roman" w:hAnsi="Times New Roman" w:eastAsia="方正仿宋_GBK" w:cs="Times New Roman"/>
          <w:color w:val="auto"/>
          <w:sz w:val="32"/>
          <w:szCs w:val="32"/>
          <w:highlight w:val="none"/>
          <w:u w:val="single"/>
        </w:rPr>
        <w:t>重庆财经学院</w:t>
      </w:r>
      <w:r>
        <w:rPr>
          <w:rFonts w:hint="eastAsia" w:ascii="Times New Roman" w:hAnsi="Times New Roman" w:eastAsia="方正仿宋_GBK" w:cs="Times New Roman"/>
          <w:color w:val="auto"/>
          <w:sz w:val="32"/>
          <w:szCs w:val="32"/>
          <w:highlight w:val="none"/>
          <w:u w:val="single"/>
          <w:lang w:eastAsia="zh-CN"/>
        </w:rPr>
        <w:t>大数据审计分析教学平台采购</w:t>
      </w:r>
      <w:r>
        <w:rPr>
          <w:rFonts w:hint="eastAsia" w:ascii="Times New Roman" w:hAnsi="Times New Roman" w:eastAsia="方正仿宋_GBK" w:cs="Times New Roman"/>
          <w:color w:val="auto"/>
          <w:sz w:val="32"/>
          <w:szCs w:val="32"/>
          <w:highlight w:val="none"/>
          <w:u w:val="single"/>
        </w:rPr>
        <w:t>项目。</w:t>
      </w:r>
    </w:p>
    <w:p w14:paraId="474AA3E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ascii="方正楷体_GBK" w:hAnsi="方正楷体_GBK" w:eastAsia="方正楷体_GBK" w:cs="方正楷体_GBK"/>
          <w:color w:val="auto"/>
          <w:sz w:val="32"/>
          <w:szCs w:val="32"/>
          <w:highlight w:val="none"/>
        </w:rPr>
        <w:t>二、招标项目内容：</w:t>
      </w:r>
      <w:r>
        <w:rPr>
          <w:rFonts w:ascii="Times New Roman" w:hAnsi="Times New Roman" w:eastAsia="方正仿宋_GBK" w:cs="Times New Roman"/>
          <w:color w:val="auto"/>
          <w:sz w:val="32"/>
          <w:szCs w:val="32"/>
          <w:highlight w:val="none"/>
        </w:rPr>
        <w:t>（详见招标文件第三章 招标数量及参数要求）。</w:t>
      </w:r>
    </w:p>
    <w:p w14:paraId="2431BA2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方正楷体_GBK" w:hAnsi="方正楷体_GBK" w:eastAsia="方正楷体_GBK" w:cs="方正楷体_GBK"/>
          <w:color w:val="auto"/>
          <w:sz w:val="32"/>
          <w:szCs w:val="32"/>
          <w:highlight w:val="none"/>
        </w:rPr>
      </w:pPr>
      <w:r>
        <w:rPr>
          <w:rFonts w:ascii="方正楷体_GBK" w:hAnsi="方正楷体_GBK" w:eastAsia="方正楷体_GBK" w:cs="方正楷体_GBK"/>
          <w:color w:val="auto"/>
          <w:sz w:val="32"/>
          <w:szCs w:val="32"/>
          <w:highlight w:val="none"/>
        </w:rPr>
        <w:t>三、供应商参加本次采购活动应具备下列条件：</w:t>
      </w:r>
    </w:p>
    <w:p w14:paraId="1F5BE07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1．投标人具有独立承担民事责任的能力；</w:t>
      </w:r>
    </w:p>
    <w:p w14:paraId="20EF3FE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2．投标人具有良好的商业信誉和健全的财务会计制度，需提供近三年的财务报表；</w:t>
      </w:r>
    </w:p>
    <w:p w14:paraId="60D9402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3．投标人具有依法缴纳税收和社会保障资金的良好纪录；</w:t>
      </w:r>
    </w:p>
    <w:p w14:paraId="532A02F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4．投标人具有履行合同所必需的专业技术能力；</w:t>
      </w:r>
    </w:p>
    <w:p w14:paraId="2B97537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5．投标人参加政府采购活动前三年内，没有骗取中标行为，无不正当理由放弃中标（成交）行为，未进行过恶意投诉，在经营活动中没有违法、违规记录；</w:t>
      </w:r>
    </w:p>
    <w:p w14:paraId="3FABC82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 xml:space="preserve">6．投标人具有完善的质量保证和售后服务体系； </w:t>
      </w:r>
    </w:p>
    <w:p w14:paraId="22CB907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7.投标方具有5年（含）以上的经营时间，需提供2022年1月1日以来由投标人签署的高校相关项目合同复印件（单个合同金额至少30万）及类似项目履约能力证明材料；</w:t>
      </w:r>
    </w:p>
    <w:p w14:paraId="1475B41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8．本项目不接受联合体投标。</w:t>
      </w:r>
    </w:p>
    <w:p w14:paraId="72DD2B9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b/>
          <w:bCs/>
          <w:color w:val="auto"/>
          <w:sz w:val="32"/>
          <w:szCs w:val="32"/>
          <w:highlight w:val="none"/>
        </w:rPr>
      </w:pPr>
      <w:r>
        <w:rPr>
          <w:rFonts w:ascii="方正楷体_GBK" w:hAnsi="方正楷体_GBK" w:eastAsia="方正楷体_GBK" w:cs="方正楷体_GBK"/>
          <w:b/>
          <w:bCs/>
          <w:color w:val="auto"/>
          <w:sz w:val="32"/>
          <w:szCs w:val="32"/>
          <w:highlight w:val="none"/>
        </w:rPr>
        <w:t>四、报名时请提供以下资料</w:t>
      </w:r>
      <w:r>
        <w:rPr>
          <w:rFonts w:hint="eastAsia" w:ascii="方正楷体_GBK" w:hAnsi="方正楷体_GBK" w:eastAsia="方正楷体_GBK" w:cs="方正楷体_GBK"/>
          <w:b/>
          <w:bCs/>
          <w:color w:val="auto"/>
          <w:sz w:val="32"/>
          <w:szCs w:val="32"/>
          <w:highlight w:val="none"/>
        </w:rPr>
        <w:t>（</w:t>
      </w:r>
      <w:r>
        <w:rPr>
          <w:rFonts w:hint="eastAsia" w:ascii="方正楷体_GBK" w:hAnsi="方正楷体_GBK" w:eastAsia="方正楷体_GBK" w:cs="方正楷体_GBK"/>
          <w:b/>
          <w:bCs/>
          <w:color w:val="auto"/>
          <w:sz w:val="32"/>
          <w:szCs w:val="32"/>
          <w:highlight w:val="none"/>
          <w:lang w:val="en-US" w:eastAsia="zh-CN"/>
        </w:rPr>
        <w:t>2025年11月13日17时前将以下资料顺丰邮寄至招标人</w:t>
      </w:r>
      <w:r>
        <w:rPr>
          <w:rFonts w:hint="eastAsia" w:ascii="方正楷体_GBK" w:hAnsi="方正楷体_GBK" w:eastAsia="方正楷体_GBK" w:cs="方正楷体_GBK"/>
          <w:b/>
          <w:bCs/>
          <w:color w:val="auto"/>
          <w:sz w:val="32"/>
          <w:szCs w:val="32"/>
          <w:highlight w:val="none"/>
        </w:rPr>
        <w:t>）</w:t>
      </w:r>
      <w:r>
        <w:rPr>
          <w:rFonts w:ascii="方正楷体_GBK" w:hAnsi="方正楷体_GBK" w:eastAsia="方正楷体_GBK" w:cs="方正楷体_GBK"/>
          <w:b/>
          <w:bCs/>
          <w:color w:val="auto"/>
          <w:sz w:val="32"/>
          <w:szCs w:val="32"/>
          <w:highlight w:val="none"/>
        </w:rPr>
        <w:t>：</w:t>
      </w:r>
    </w:p>
    <w:p w14:paraId="4B332E0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1.企业营业执照复印件；</w:t>
      </w:r>
    </w:p>
    <w:p w14:paraId="2D4C570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2.法定代表人授权书原件；</w:t>
      </w:r>
    </w:p>
    <w:p w14:paraId="437C820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3.被授权人有效身份证复印件；</w:t>
      </w:r>
    </w:p>
    <w:p w14:paraId="6F6C436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4.报名费缴款截图复印件，同时备注联系人的姓名、电话、有效邮箱等信息）。</w:t>
      </w:r>
    </w:p>
    <w:p w14:paraId="467E5C1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ascii="方正楷体_GBK" w:hAnsi="方正楷体_GBK" w:eastAsia="方正楷体_GBK" w:cs="方正楷体_GBK"/>
          <w:color w:val="auto"/>
          <w:sz w:val="32"/>
          <w:szCs w:val="32"/>
          <w:highlight w:val="none"/>
        </w:rPr>
        <w:t>五、招标文件发售时间、地点：</w:t>
      </w:r>
    </w:p>
    <w:p w14:paraId="632786B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ascii="Times New Roman" w:hAnsi="Times New Roman" w:eastAsia="方正仿宋_GBK" w:cs="Times New Roman"/>
          <w:color w:val="auto"/>
          <w:sz w:val="32"/>
          <w:szCs w:val="32"/>
          <w:highlight w:val="none"/>
        </w:rPr>
        <w:t>发售招标文件及报名时间：</w:t>
      </w:r>
      <w:r>
        <w:rPr>
          <w:rFonts w:hint="eastAsia" w:ascii="Times New Roman" w:hAnsi="Times New Roman" w:eastAsia="方正仿宋_GBK" w:cs="Times New Roman"/>
          <w:color w:val="auto"/>
          <w:sz w:val="32"/>
          <w:szCs w:val="32"/>
          <w:highlight w:val="none"/>
          <w:lang w:val="en-US" w:eastAsia="zh-CN"/>
        </w:rPr>
        <w:t>同报名材料邮寄截止时间。</w:t>
      </w:r>
    </w:p>
    <w:p w14:paraId="0356072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ascii="Times New Roman" w:hAnsi="Times New Roman" w:eastAsia="方正仿宋_GBK" w:cs="Times New Roman"/>
          <w:color w:val="auto"/>
          <w:sz w:val="32"/>
          <w:szCs w:val="32"/>
          <w:highlight w:val="none"/>
        </w:rPr>
        <w:t>发售招标文件地点：</w:t>
      </w:r>
      <w:r>
        <w:rPr>
          <w:rFonts w:hint="eastAsia" w:ascii="Times New Roman" w:hAnsi="Times New Roman" w:eastAsia="方正仿宋_GBK" w:cs="Times New Roman"/>
          <w:color w:val="auto"/>
          <w:sz w:val="32"/>
          <w:szCs w:val="32"/>
          <w:highlight w:val="none"/>
          <w:lang w:val="en-US" w:eastAsia="zh-CN"/>
        </w:rPr>
        <w:t>收到报名材料后发送至邮箱。</w:t>
      </w:r>
    </w:p>
    <w:p w14:paraId="2E04711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b/>
          <w:bCs/>
          <w:color w:val="auto"/>
          <w:sz w:val="32"/>
          <w:szCs w:val="32"/>
          <w:highlight w:val="none"/>
        </w:rPr>
      </w:pPr>
      <w:r>
        <w:rPr>
          <w:rFonts w:ascii="Times New Roman" w:hAnsi="Times New Roman" w:eastAsia="方正仿宋_GBK" w:cs="Times New Roman"/>
          <w:b/>
          <w:bCs/>
          <w:color w:val="auto"/>
          <w:sz w:val="32"/>
          <w:szCs w:val="32"/>
          <w:highlight w:val="none"/>
        </w:rPr>
        <w:t>招标文件售价：人民币</w:t>
      </w:r>
      <w:r>
        <w:rPr>
          <w:rFonts w:hint="eastAsia" w:ascii="Times New Roman" w:hAnsi="Times New Roman" w:eastAsia="方正仿宋_GBK" w:cs="Times New Roman"/>
          <w:b/>
          <w:bCs/>
          <w:color w:val="auto"/>
          <w:sz w:val="32"/>
          <w:szCs w:val="32"/>
          <w:highlight w:val="none"/>
          <w:u w:val="single"/>
        </w:rPr>
        <w:t>2</w:t>
      </w:r>
      <w:r>
        <w:rPr>
          <w:rFonts w:ascii="Times New Roman" w:hAnsi="Times New Roman" w:eastAsia="方正仿宋_GBK" w:cs="Times New Roman"/>
          <w:b/>
          <w:bCs/>
          <w:color w:val="auto"/>
          <w:sz w:val="32"/>
          <w:szCs w:val="32"/>
          <w:highlight w:val="none"/>
          <w:u w:val="single"/>
        </w:rPr>
        <w:t>00元/份</w:t>
      </w:r>
      <w:r>
        <w:rPr>
          <w:rFonts w:ascii="Times New Roman" w:hAnsi="Times New Roman" w:eastAsia="方正仿宋_GBK" w:cs="Times New Roman"/>
          <w:b/>
          <w:bCs/>
          <w:color w:val="auto"/>
          <w:sz w:val="32"/>
          <w:szCs w:val="32"/>
          <w:highlight w:val="none"/>
        </w:rPr>
        <w:t>（</w:t>
      </w:r>
      <w:r>
        <w:rPr>
          <w:rFonts w:hint="eastAsia" w:ascii="Times New Roman" w:hAnsi="Times New Roman" w:eastAsia="方正仿宋_GBK" w:cs="Times New Roman"/>
          <w:b/>
          <w:bCs/>
          <w:color w:val="auto"/>
          <w:sz w:val="32"/>
          <w:szCs w:val="32"/>
          <w:highlight w:val="none"/>
          <w:lang w:val="en-US" w:eastAsia="zh-CN"/>
        </w:rPr>
        <w:t>报名费交</w:t>
      </w:r>
      <w:r>
        <w:rPr>
          <w:rFonts w:ascii="Times New Roman" w:hAnsi="Times New Roman" w:eastAsia="方正仿宋_GBK" w:cs="Times New Roman"/>
          <w:b/>
          <w:bCs/>
          <w:color w:val="auto"/>
          <w:sz w:val="32"/>
          <w:szCs w:val="32"/>
          <w:highlight w:val="none"/>
        </w:rPr>
        <w:t>后不退, 投标资格不能转让）。</w:t>
      </w:r>
    </w:p>
    <w:p w14:paraId="46B4A30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报名费收费账户：</w:t>
      </w:r>
      <w:r>
        <w:rPr>
          <w:rFonts w:hint="eastAsia" w:ascii="Times New Roman" w:hAnsi="Times New Roman" w:eastAsia="方正仿宋_GBK" w:cs="Times New Roman"/>
          <w:b w:val="0"/>
          <w:bCs w:val="0"/>
          <w:color w:val="auto"/>
          <w:sz w:val="32"/>
          <w:szCs w:val="32"/>
          <w:highlight w:val="none"/>
          <w:lang w:val="en-US" w:eastAsia="zh-CN"/>
        </w:rPr>
        <w:t>1001010120010030105，重庆财经学院，农村商业银行重庆巴南支行。</w:t>
      </w:r>
    </w:p>
    <w:p w14:paraId="2BF2DA0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六、</w:t>
      </w:r>
      <w:r>
        <w:rPr>
          <w:rFonts w:hint="eastAsia" w:ascii="Times New Roman" w:hAnsi="Times New Roman" w:eastAsia="方正仿宋_GBK" w:cs="Times New Roman"/>
          <w:color w:val="auto"/>
          <w:sz w:val="32"/>
          <w:szCs w:val="32"/>
          <w:highlight w:val="none"/>
          <w:lang w:val="en-US" w:eastAsia="zh-CN"/>
        </w:rPr>
        <w:t>对招标文件的疑问提出时间（若有）：</w:t>
      </w:r>
      <w:r>
        <w:rPr>
          <w:rFonts w:hint="eastAsia"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lang w:val="en-US" w:eastAsia="zh-CN"/>
        </w:rPr>
        <w:t xml:space="preserve">2025 </w:t>
      </w:r>
      <w:r>
        <w:rPr>
          <w:rFonts w:hint="eastAsia" w:ascii="Times New Roman" w:hAnsi="Times New Roman" w:eastAsia="方正仿宋_GBK" w:cs="Times New Roman"/>
          <w:color w:val="auto"/>
          <w:sz w:val="28"/>
          <w:szCs w:val="28"/>
          <w:highlight w:val="none"/>
          <w:lang w:val="en-US" w:eastAsia="zh-CN"/>
        </w:rPr>
        <w:t xml:space="preserve">年 </w:t>
      </w:r>
      <w:r>
        <w:rPr>
          <w:rFonts w:hint="default" w:ascii="Times New Roman" w:hAnsi="Times New Roman" w:eastAsia="方正仿宋_GBK" w:cs="Times New Roman"/>
          <w:color w:val="auto"/>
          <w:sz w:val="28"/>
          <w:szCs w:val="28"/>
          <w:highlight w:val="none"/>
          <w:lang w:val="en-US" w:eastAsia="zh-CN"/>
        </w:rPr>
        <w:t>1</w:t>
      </w:r>
      <w:r>
        <w:rPr>
          <w:rFonts w:hint="eastAsia" w:ascii="Times New Roman" w:hAnsi="Times New Roman" w:eastAsia="方正仿宋_GBK" w:cs="Times New Roman"/>
          <w:color w:val="auto"/>
          <w:sz w:val="28"/>
          <w:szCs w:val="28"/>
          <w:highlight w:val="none"/>
          <w:lang w:val="en-US" w:eastAsia="zh-CN"/>
        </w:rPr>
        <w:t>1月 14日以内</w:t>
      </w:r>
      <w:r>
        <w:rPr>
          <w:rFonts w:hint="eastAsia" w:ascii="Times New Roman" w:hAnsi="Times New Roman" w:eastAsia="方正仿宋_GBK" w:cs="Times New Roman"/>
          <w:color w:val="auto"/>
          <w:sz w:val="32"/>
          <w:szCs w:val="32"/>
          <w:highlight w:val="none"/>
          <w:lang w:val="en-US" w:eastAsia="zh-CN"/>
        </w:rPr>
        <w:t>。</w:t>
      </w:r>
    </w:p>
    <w:p w14:paraId="0C4B4CC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方正楷体_GBK" w:hAnsi="方正楷体_GBK" w:eastAsia="方正楷体_GBK" w:cs="方正楷体_GBK"/>
          <w:color w:val="auto"/>
          <w:sz w:val="32"/>
          <w:szCs w:val="32"/>
          <w:highlight w:val="none"/>
          <w:lang w:eastAsia="zh-CN"/>
        </w:rPr>
        <w:t>七</w:t>
      </w:r>
      <w:r>
        <w:rPr>
          <w:rFonts w:ascii="方正楷体_GBK" w:hAnsi="方正楷体_GBK" w:eastAsia="方正楷体_GBK" w:cs="方正楷体_GBK"/>
          <w:color w:val="auto"/>
          <w:sz w:val="32"/>
          <w:szCs w:val="32"/>
          <w:highlight w:val="none"/>
        </w:rPr>
        <w:t>、投标截止时间：</w:t>
      </w:r>
      <w:r>
        <w:rPr>
          <w:rFonts w:ascii="Times New Roman" w:hAnsi="Times New Roman" w:eastAsia="方正仿宋_GBK" w:cs="Times New Roman"/>
          <w:color w:val="auto"/>
          <w:sz w:val="32"/>
          <w:szCs w:val="32"/>
          <w:highlight w:val="none"/>
        </w:rPr>
        <w:t>具体送达时间在“重庆财经学院</w:t>
      </w:r>
      <w:r>
        <w:rPr>
          <w:rFonts w:hint="eastAsia" w:ascii="Times New Roman" w:hAnsi="Times New Roman" w:eastAsia="方正仿宋_GBK" w:cs="Times New Roman"/>
          <w:color w:val="auto"/>
          <w:sz w:val="32"/>
          <w:szCs w:val="32"/>
          <w:highlight w:val="none"/>
          <w:lang w:val="en-US" w:eastAsia="zh-CN"/>
        </w:rPr>
        <w:t>官</w:t>
      </w:r>
      <w:r>
        <w:rPr>
          <w:rFonts w:ascii="Times New Roman" w:hAnsi="Times New Roman" w:eastAsia="方正仿宋_GBK" w:cs="Times New Roman"/>
          <w:color w:val="auto"/>
          <w:sz w:val="32"/>
          <w:szCs w:val="32"/>
          <w:highlight w:val="none"/>
        </w:rPr>
        <w:t>网（</w:t>
      </w:r>
      <w:r>
        <w:rPr>
          <w:rFonts w:ascii="Times New Roman" w:hAnsi="Times New Roman" w:eastAsia="方正仿宋_GBK" w:cs="Times New Roman"/>
          <w:color w:val="auto"/>
          <w:spacing w:val="-4"/>
          <w:sz w:val="32"/>
          <w:szCs w:val="32"/>
          <w:highlight w:val="none"/>
        </w:rPr>
        <w:t>http://www.cfec.edu.cn</w:t>
      </w:r>
      <w:r>
        <w:rPr>
          <w:rFonts w:ascii="Times New Roman" w:hAnsi="Times New Roman" w:eastAsia="方正仿宋_GBK" w:cs="Times New Roman"/>
          <w:color w:val="auto"/>
          <w:sz w:val="32"/>
          <w:szCs w:val="32"/>
          <w:highlight w:val="none"/>
        </w:rPr>
        <w:t>）”上发布。</w:t>
      </w:r>
    </w:p>
    <w:p w14:paraId="5271F95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投标文件必须在投标截止时间前送达开标地点。逾期送达的投标文件恕不接收。本次招标不接受邮寄的投标文件。</w:t>
      </w:r>
    </w:p>
    <w:p w14:paraId="23200A8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方正楷体_GBK" w:hAnsi="方正楷体_GBK" w:eastAsia="方正楷体_GBK" w:cs="方正楷体_GBK"/>
          <w:color w:val="auto"/>
          <w:sz w:val="32"/>
          <w:szCs w:val="32"/>
          <w:highlight w:val="none"/>
          <w:lang w:eastAsia="zh-CN"/>
        </w:rPr>
        <w:t>八</w:t>
      </w:r>
      <w:r>
        <w:rPr>
          <w:rFonts w:ascii="方正楷体_GBK" w:hAnsi="方正楷体_GBK" w:eastAsia="方正楷体_GBK" w:cs="方正楷体_GBK"/>
          <w:color w:val="auto"/>
          <w:sz w:val="32"/>
          <w:szCs w:val="32"/>
          <w:highlight w:val="none"/>
        </w:rPr>
        <w:t>、投标保证金：</w:t>
      </w:r>
    </w:p>
    <w:p w14:paraId="29E47BF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投标人应</w:t>
      </w:r>
      <w:r>
        <w:rPr>
          <w:rFonts w:hint="eastAsia" w:ascii="Times New Roman" w:hAnsi="Times New Roman" w:eastAsia="方正仿宋_GBK" w:cs="Times New Roman"/>
          <w:color w:val="auto"/>
          <w:sz w:val="32"/>
          <w:szCs w:val="32"/>
          <w:highlight w:val="none"/>
          <w:lang w:val="en-US" w:eastAsia="zh-CN"/>
        </w:rPr>
        <w:t>以现金的形式</w:t>
      </w:r>
      <w:r>
        <w:rPr>
          <w:rFonts w:ascii="Times New Roman" w:hAnsi="Times New Roman" w:eastAsia="方正仿宋_GBK" w:cs="Times New Roman"/>
          <w:color w:val="auto"/>
          <w:sz w:val="32"/>
          <w:szCs w:val="32"/>
          <w:highlight w:val="none"/>
        </w:rPr>
        <w:t>提供人民币</w:t>
      </w:r>
      <w:r>
        <w:rPr>
          <w:rFonts w:hint="eastAsia" w:ascii="Times New Roman" w:hAnsi="Times New Roman" w:eastAsia="方正仿宋_GBK" w:cs="Times New Roman"/>
          <w:b/>
          <w:bCs/>
          <w:color w:val="auto"/>
          <w:sz w:val="32"/>
          <w:szCs w:val="32"/>
          <w:highlight w:val="none"/>
          <w:u w:val="single"/>
          <w:lang w:val="en-US" w:eastAsia="zh-CN"/>
        </w:rPr>
        <w:t>5</w:t>
      </w:r>
      <w:r>
        <w:rPr>
          <w:rFonts w:hint="eastAsia" w:ascii="Times New Roman" w:hAnsi="Times New Roman" w:eastAsia="方正仿宋_GBK" w:cs="Times New Roman"/>
          <w:b/>
          <w:bCs/>
          <w:color w:val="auto"/>
          <w:sz w:val="32"/>
          <w:szCs w:val="32"/>
          <w:highlight w:val="none"/>
          <w:u w:val="single"/>
        </w:rPr>
        <w:t>000</w:t>
      </w:r>
      <w:r>
        <w:rPr>
          <w:rFonts w:ascii="Times New Roman" w:hAnsi="Times New Roman" w:eastAsia="方正仿宋_GBK" w:cs="Times New Roman"/>
          <w:b/>
          <w:bCs/>
          <w:color w:val="auto"/>
          <w:sz w:val="32"/>
          <w:szCs w:val="32"/>
          <w:highlight w:val="none"/>
          <w:u w:val="single"/>
        </w:rPr>
        <w:t>元（大写</w:t>
      </w:r>
      <w:r>
        <w:rPr>
          <w:rFonts w:hint="eastAsia" w:ascii="Times New Roman" w:hAnsi="Times New Roman" w:eastAsia="方正仿宋_GBK" w:cs="Times New Roman"/>
          <w:b/>
          <w:bCs/>
          <w:color w:val="auto"/>
          <w:sz w:val="32"/>
          <w:szCs w:val="32"/>
          <w:highlight w:val="none"/>
          <w:u w:val="single"/>
          <w:lang w:val="en-US" w:eastAsia="zh-CN"/>
        </w:rPr>
        <w:t>：伍仟</w:t>
      </w:r>
      <w:r>
        <w:rPr>
          <w:rFonts w:ascii="Times New Roman" w:hAnsi="Times New Roman" w:eastAsia="方正仿宋_GBK" w:cs="Times New Roman"/>
          <w:b/>
          <w:bCs/>
          <w:color w:val="auto"/>
          <w:sz w:val="32"/>
          <w:szCs w:val="32"/>
          <w:highlight w:val="none"/>
          <w:u w:val="single"/>
        </w:rPr>
        <w:t>元</w:t>
      </w:r>
      <w:r>
        <w:rPr>
          <w:rFonts w:hint="eastAsia" w:ascii="Times New Roman" w:hAnsi="Times New Roman" w:eastAsia="方正仿宋_GBK" w:cs="Times New Roman"/>
          <w:b/>
          <w:bCs/>
          <w:color w:val="auto"/>
          <w:sz w:val="32"/>
          <w:szCs w:val="32"/>
          <w:highlight w:val="none"/>
          <w:u w:val="single"/>
          <w:lang w:val="en-US" w:eastAsia="zh-CN"/>
        </w:rPr>
        <w:t>整</w:t>
      </w:r>
      <w:r>
        <w:rPr>
          <w:rFonts w:ascii="Times New Roman" w:hAnsi="Times New Roman" w:eastAsia="方正仿宋_GBK" w:cs="Times New Roman"/>
          <w:b/>
          <w:bCs/>
          <w:color w:val="auto"/>
          <w:sz w:val="32"/>
          <w:szCs w:val="32"/>
          <w:highlight w:val="none"/>
          <w:u w:val="single"/>
        </w:rPr>
        <w:t>）</w:t>
      </w:r>
      <w:r>
        <w:rPr>
          <w:rFonts w:ascii="Times New Roman" w:hAnsi="Times New Roman" w:eastAsia="方正仿宋_GBK" w:cs="Times New Roman"/>
          <w:color w:val="auto"/>
          <w:sz w:val="32"/>
          <w:szCs w:val="32"/>
          <w:highlight w:val="none"/>
        </w:rPr>
        <w:t>的投标保证金。</w:t>
      </w:r>
    </w:p>
    <w:p w14:paraId="6B6959B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方正楷体_GBK" w:hAnsi="方正楷体_GBK" w:eastAsia="方正楷体_GBK" w:cs="方正楷体_GBK"/>
          <w:color w:val="auto"/>
          <w:sz w:val="32"/>
          <w:szCs w:val="32"/>
          <w:highlight w:val="none"/>
          <w:lang w:eastAsia="zh-CN"/>
        </w:rPr>
        <w:t>九</w:t>
      </w:r>
      <w:r>
        <w:rPr>
          <w:rFonts w:hint="eastAsia" w:ascii="方正楷体_GBK" w:hAnsi="方正楷体_GBK" w:eastAsia="方正楷体_GBK" w:cs="方正楷体_GBK"/>
          <w:color w:val="auto"/>
          <w:sz w:val="32"/>
          <w:szCs w:val="32"/>
          <w:highlight w:val="none"/>
        </w:rPr>
        <w:t>、</w:t>
      </w:r>
      <w:r>
        <w:rPr>
          <w:rFonts w:ascii="方正楷体_GBK" w:hAnsi="方正楷体_GBK" w:eastAsia="方正楷体_GBK" w:cs="方正楷体_GBK"/>
          <w:color w:val="auto"/>
          <w:sz w:val="32"/>
          <w:szCs w:val="32"/>
          <w:highlight w:val="none"/>
        </w:rPr>
        <w:t>中标服务费：</w:t>
      </w:r>
    </w:p>
    <w:p w14:paraId="6049F58A">
      <w:pPr>
        <w:pStyle w:val="41"/>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color w:val="auto"/>
          <w:highlight w:val="none"/>
        </w:rPr>
      </w:pPr>
      <w:r>
        <w:rPr>
          <w:rFonts w:ascii="Times New Roman" w:hAnsi="Times New Roman" w:eastAsia="方正仿宋_GBK" w:cs="Times New Roman"/>
          <w:color w:val="auto"/>
          <w:sz w:val="32"/>
          <w:szCs w:val="32"/>
          <w:highlight w:val="none"/>
        </w:rPr>
        <w:t>本项目</w:t>
      </w:r>
      <w:r>
        <w:rPr>
          <w:rFonts w:hint="eastAsia" w:ascii="Times New Roman" w:hAnsi="Times New Roman" w:eastAsia="方正仿宋_GBK" w:cs="Times New Roman"/>
          <w:color w:val="auto"/>
          <w:sz w:val="32"/>
          <w:szCs w:val="32"/>
          <w:highlight w:val="none"/>
        </w:rPr>
        <w:t>将</w:t>
      </w:r>
      <w:r>
        <w:rPr>
          <w:rFonts w:ascii="Times New Roman" w:hAnsi="Times New Roman" w:eastAsia="方正仿宋_GBK" w:cs="Times New Roman"/>
          <w:color w:val="auto"/>
          <w:sz w:val="32"/>
          <w:szCs w:val="32"/>
          <w:highlight w:val="none"/>
        </w:rPr>
        <w:t>收取中标服务费</w:t>
      </w:r>
      <w:r>
        <w:rPr>
          <w:rFonts w:hint="eastAsia" w:ascii="Times New Roman" w:hAnsi="Times New Roman" w:eastAsia="方正仿宋_GBK" w:cs="Times New Roman"/>
          <w:color w:val="auto"/>
          <w:sz w:val="32"/>
          <w:szCs w:val="32"/>
          <w:highlight w:val="none"/>
        </w:rPr>
        <w:t>，计算基数是中标通知书中载明的中标金额，按下表以差额定率累进法计算，并在此基础上</w:t>
      </w:r>
      <w:r>
        <w:rPr>
          <w:rFonts w:hint="eastAsia" w:ascii="Times New Roman" w:hAnsi="Times New Roman" w:eastAsia="方正仿宋_GBK" w:cs="Times New Roman"/>
          <w:b/>
          <w:bCs/>
          <w:color w:val="auto"/>
          <w:sz w:val="32"/>
          <w:szCs w:val="32"/>
          <w:highlight w:val="none"/>
        </w:rPr>
        <w:t>八折</w:t>
      </w:r>
      <w:r>
        <w:rPr>
          <w:rFonts w:hint="eastAsia" w:ascii="Times New Roman" w:hAnsi="Times New Roman" w:eastAsia="方正仿宋_GBK" w:cs="Times New Roman"/>
          <w:color w:val="auto"/>
          <w:sz w:val="32"/>
          <w:szCs w:val="32"/>
          <w:highlight w:val="none"/>
        </w:rPr>
        <w:t>收取。</w:t>
      </w:r>
    </w:p>
    <w:tbl>
      <w:tblPr>
        <w:tblStyle w:val="43"/>
        <w:tblpPr w:leftFromText="180" w:rightFromText="180" w:vertAnchor="text" w:horzAnchor="page" w:tblpX="1906" w:tblpY="2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9"/>
        <w:gridCol w:w="4211"/>
      </w:tblGrid>
      <w:tr w14:paraId="7C00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59" w:type="dxa"/>
          </w:tcPr>
          <w:p w14:paraId="6357D284">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highlight w:val="none"/>
              </w:rPr>
            </w:pPr>
            <w:r>
              <w:rPr>
                <w:rFonts w:hint="eastAsia"/>
                <w:color w:val="auto"/>
                <w:szCs w:val="24"/>
                <w:highlight w:val="none"/>
              </w:rPr>
              <w:t>中标金额（万元）</w:t>
            </w:r>
          </w:p>
        </w:tc>
        <w:tc>
          <w:tcPr>
            <w:tcW w:w="4211" w:type="dxa"/>
          </w:tcPr>
          <w:p w14:paraId="04B9B86C">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highlight w:val="none"/>
              </w:rPr>
            </w:pPr>
            <w:r>
              <w:rPr>
                <w:rFonts w:hint="eastAsia"/>
                <w:color w:val="auto"/>
                <w:szCs w:val="24"/>
                <w:highlight w:val="none"/>
              </w:rPr>
              <w:t>费率（%）</w:t>
            </w:r>
          </w:p>
        </w:tc>
      </w:tr>
      <w:tr w14:paraId="1434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7EAE3259">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highlight w:val="none"/>
              </w:rPr>
            </w:pPr>
            <w:r>
              <w:rPr>
                <w:rFonts w:hint="eastAsia"/>
                <w:color w:val="auto"/>
                <w:szCs w:val="24"/>
                <w:highlight w:val="none"/>
              </w:rPr>
              <w:t>100以下</w:t>
            </w:r>
          </w:p>
        </w:tc>
        <w:tc>
          <w:tcPr>
            <w:tcW w:w="4211" w:type="dxa"/>
          </w:tcPr>
          <w:p w14:paraId="69DABDE8">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highlight w:val="none"/>
              </w:rPr>
            </w:pPr>
            <w:r>
              <w:rPr>
                <w:rFonts w:hint="eastAsia"/>
                <w:color w:val="auto"/>
                <w:szCs w:val="24"/>
                <w:highlight w:val="none"/>
              </w:rPr>
              <w:t>1.5</w:t>
            </w:r>
          </w:p>
        </w:tc>
      </w:tr>
      <w:tr w14:paraId="63EA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141166D9">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highlight w:val="none"/>
              </w:rPr>
            </w:pPr>
            <w:r>
              <w:rPr>
                <w:rFonts w:hint="eastAsia"/>
                <w:color w:val="auto"/>
                <w:szCs w:val="24"/>
                <w:highlight w:val="none"/>
              </w:rPr>
              <w:t>100-500</w:t>
            </w:r>
          </w:p>
        </w:tc>
        <w:tc>
          <w:tcPr>
            <w:tcW w:w="4211" w:type="dxa"/>
          </w:tcPr>
          <w:p w14:paraId="568DD148">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hint="default" w:eastAsiaTheme="minorEastAsia"/>
                <w:color w:val="auto"/>
                <w:szCs w:val="24"/>
                <w:highlight w:val="none"/>
                <w:lang w:val="en-US" w:eastAsia="zh-CN"/>
              </w:rPr>
            </w:pPr>
            <w:r>
              <w:rPr>
                <w:rFonts w:hint="eastAsia"/>
                <w:color w:val="auto"/>
                <w:szCs w:val="24"/>
                <w:highlight w:val="none"/>
                <w:lang w:val="en-US" w:eastAsia="zh-CN"/>
              </w:rPr>
              <w:t>1.1</w:t>
            </w:r>
          </w:p>
        </w:tc>
      </w:tr>
    </w:tbl>
    <w:p w14:paraId="7D72A6D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sz w:val="32"/>
          <w:szCs w:val="32"/>
          <w:highlight w:val="none"/>
          <w:lang w:eastAsia="zh-CN"/>
        </w:rPr>
        <w:t>十</w:t>
      </w:r>
      <w:r>
        <w:rPr>
          <w:rFonts w:ascii="方正楷体_GBK" w:hAnsi="方正楷体_GBK" w:eastAsia="方正楷体_GBK" w:cs="方正楷体_GBK"/>
          <w:color w:val="auto"/>
          <w:sz w:val="32"/>
          <w:szCs w:val="32"/>
          <w:highlight w:val="none"/>
        </w:rPr>
        <w:t>、投标地点：</w:t>
      </w:r>
    </w:p>
    <w:p w14:paraId="37225FA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重庆财经学院行政楼2</w:t>
      </w:r>
      <w:r>
        <w:rPr>
          <w:rFonts w:hint="eastAsia" w:ascii="Times New Roman" w:hAnsi="Times New Roman" w:eastAsia="方正仿宋_GBK" w:cs="Times New Roman"/>
          <w:color w:val="auto"/>
          <w:sz w:val="32"/>
          <w:szCs w:val="32"/>
          <w:highlight w:val="none"/>
          <w:lang w:val="en-US" w:eastAsia="zh-CN"/>
        </w:rPr>
        <w:t>420</w:t>
      </w:r>
      <w:r>
        <w:rPr>
          <w:rFonts w:ascii="Times New Roman" w:hAnsi="Times New Roman" w:eastAsia="方正仿宋_GBK" w:cs="Times New Roman"/>
          <w:color w:val="auto"/>
          <w:sz w:val="32"/>
          <w:szCs w:val="32"/>
          <w:highlight w:val="none"/>
        </w:rPr>
        <w:t>室（重庆市巴南区龙洲湾尚文大道906号）</w:t>
      </w:r>
    </w:p>
    <w:p w14:paraId="765158CD">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方正楷体_GBK" w:hAnsi="方正楷体_GBK" w:eastAsia="方正楷体_GBK" w:cs="方正楷体_GBK"/>
          <w:color w:val="auto"/>
          <w:sz w:val="32"/>
          <w:szCs w:val="32"/>
          <w:highlight w:val="none"/>
        </w:rPr>
      </w:pPr>
      <w:r>
        <w:rPr>
          <w:rFonts w:hint="eastAsia" w:ascii="方正楷体_GBK" w:hAnsi="方正楷体_GBK" w:eastAsia="方正楷体_GBK" w:cs="方正楷体_GBK"/>
          <w:color w:val="auto"/>
          <w:kern w:val="2"/>
          <w:sz w:val="32"/>
          <w:szCs w:val="32"/>
          <w:lang w:val="en-US" w:eastAsia="zh-CN" w:bidi="ar-SA"/>
        </w:rPr>
        <w:t>十一、</w:t>
      </w:r>
      <w:r>
        <w:rPr>
          <w:rFonts w:ascii="方正楷体_GBK" w:hAnsi="方正楷体_GBK" w:eastAsia="方正楷体_GBK" w:cs="方正楷体_GBK"/>
          <w:color w:val="auto"/>
          <w:sz w:val="32"/>
          <w:szCs w:val="32"/>
          <w:highlight w:val="none"/>
        </w:rPr>
        <w:t>发布招标公告的媒介：</w:t>
      </w:r>
    </w:p>
    <w:p w14:paraId="57A9FA8E">
      <w:pPr>
        <w:keepNext w:val="0"/>
        <w:keepLines w:val="0"/>
        <w:pageBreakBefore w:val="0"/>
        <w:widowControl w:val="0"/>
        <w:kinsoku/>
        <w:wordWrap/>
        <w:overflowPunct/>
        <w:topLinePunct w:val="0"/>
        <w:autoSpaceDE/>
        <w:autoSpaceDN/>
        <w:bidi w:val="0"/>
        <w:adjustRightInd/>
        <w:snapToGrid/>
        <w:spacing w:line="380" w:lineRule="exact"/>
        <w:ind w:left="480" w:leftChars="200" w:firstLine="320" w:firstLineChars="1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本次招标公告在</w:t>
      </w:r>
      <w:bookmarkStart w:id="232" w:name="_GoBack"/>
      <w:bookmarkEnd w:id="232"/>
      <w:r>
        <w:rPr>
          <w:rFonts w:ascii="Times New Roman" w:hAnsi="Times New Roman" w:eastAsia="方正仿宋_GBK" w:cs="Times New Roman"/>
          <w:color w:val="auto"/>
          <w:sz w:val="32"/>
          <w:szCs w:val="32"/>
          <w:highlight w:val="none"/>
        </w:rPr>
        <w:t>“重庆财经学院</w:t>
      </w:r>
      <w:r>
        <w:rPr>
          <w:rFonts w:hint="eastAsia" w:ascii="Times New Roman" w:hAnsi="Times New Roman" w:eastAsia="方正仿宋_GBK" w:cs="Times New Roman"/>
          <w:color w:val="auto"/>
          <w:sz w:val="32"/>
          <w:szCs w:val="32"/>
          <w:highlight w:val="none"/>
          <w:lang w:val="en-US" w:eastAsia="zh-CN"/>
        </w:rPr>
        <w:t>官</w:t>
      </w:r>
      <w:r>
        <w:rPr>
          <w:rFonts w:ascii="Times New Roman" w:hAnsi="Times New Roman" w:eastAsia="方正仿宋_GBK" w:cs="Times New Roman"/>
          <w:color w:val="auto"/>
          <w:sz w:val="32"/>
          <w:szCs w:val="32"/>
          <w:highlight w:val="none"/>
        </w:rPr>
        <w:t>网（</w:t>
      </w:r>
      <w:r>
        <w:rPr>
          <w:rFonts w:ascii="Times New Roman" w:hAnsi="Times New Roman" w:eastAsia="方正仿宋_GBK" w:cs="Times New Roman"/>
          <w:color w:val="auto"/>
          <w:spacing w:val="-4"/>
          <w:sz w:val="32"/>
          <w:szCs w:val="32"/>
          <w:highlight w:val="none"/>
        </w:rPr>
        <w:t>http://www.cfec.edu.cn</w:t>
      </w:r>
      <w:r>
        <w:rPr>
          <w:rFonts w:ascii="Times New Roman" w:hAnsi="Times New Roman" w:eastAsia="方正仿宋_GBK" w:cs="Times New Roman"/>
          <w:color w:val="auto"/>
          <w:sz w:val="32"/>
          <w:szCs w:val="32"/>
          <w:highlight w:val="none"/>
        </w:rPr>
        <w:t>）上发布。</w:t>
      </w:r>
    </w:p>
    <w:p w14:paraId="2B3190C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楷体_GBK" w:cs="Times New Roman"/>
          <w:color w:val="auto"/>
          <w:sz w:val="32"/>
          <w:szCs w:val="32"/>
          <w:highlight w:val="none"/>
          <w:lang w:eastAsia="zh-CN"/>
        </w:rPr>
      </w:pPr>
      <w:r>
        <w:rPr>
          <w:rFonts w:ascii="方正楷体_GBK" w:hAnsi="方正楷体_GBK" w:eastAsia="方正楷体_GBK" w:cs="方正楷体_GBK"/>
          <w:color w:val="auto"/>
          <w:sz w:val="32"/>
          <w:szCs w:val="32"/>
          <w:highlight w:val="none"/>
        </w:rPr>
        <w:t>十</w:t>
      </w:r>
      <w:r>
        <w:rPr>
          <w:rFonts w:hint="eastAsia" w:ascii="方正楷体_GBK" w:hAnsi="方正楷体_GBK" w:eastAsia="方正楷体_GBK" w:cs="方正楷体_GBK"/>
          <w:color w:val="auto"/>
          <w:sz w:val="32"/>
          <w:szCs w:val="32"/>
          <w:highlight w:val="none"/>
          <w:lang w:eastAsia="zh-CN"/>
        </w:rPr>
        <w:t>二</w:t>
      </w:r>
      <w:r>
        <w:rPr>
          <w:rFonts w:ascii="方正楷体_GBK" w:hAnsi="方正楷体_GBK" w:eastAsia="方正楷体_GBK" w:cs="方正楷体_GBK"/>
          <w:color w:val="auto"/>
          <w:sz w:val="32"/>
          <w:szCs w:val="32"/>
          <w:highlight w:val="none"/>
        </w:rPr>
        <w:t>、联系方式</w:t>
      </w:r>
      <w:r>
        <w:rPr>
          <w:rFonts w:hint="eastAsia" w:ascii="方正楷体_GBK" w:hAnsi="方正楷体_GBK" w:eastAsia="方正楷体_GBK" w:cs="方正楷体_GBK"/>
          <w:color w:val="auto"/>
          <w:sz w:val="32"/>
          <w:szCs w:val="32"/>
          <w:highlight w:val="none"/>
          <w:lang w:eastAsia="zh-CN"/>
        </w:rPr>
        <w:t>（</w:t>
      </w:r>
      <w:r>
        <w:rPr>
          <w:rFonts w:hint="eastAsia" w:ascii="方正楷体_GBK" w:hAnsi="方正楷体_GBK" w:eastAsia="方正楷体_GBK" w:cs="方正楷体_GBK"/>
          <w:color w:val="auto"/>
          <w:sz w:val="32"/>
          <w:szCs w:val="32"/>
          <w:highlight w:val="none"/>
          <w:lang w:val="en-US" w:eastAsia="zh-CN"/>
        </w:rPr>
        <w:t>收件地址</w:t>
      </w:r>
      <w:r>
        <w:rPr>
          <w:rFonts w:hint="eastAsia" w:ascii="方正楷体_GBK" w:hAnsi="方正楷体_GBK" w:eastAsia="方正楷体_GBK" w:cs="方正楷体_GBK"/>
          <w:color w:val="auto"/>
          <w:sz w:val="32"/>
          <w:szCs w:val="32"/>
          <w:highlight w:val="none"/>
          <w:lang w:eastAsia="zh-CN"/>
        </w:rPr>
        <w:t>）</w:t>
      </w:r>
    </w:p>
    <w:p w14:paraId="5BB9B13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联系人：</w:t>
      </w:r>
      <w:r>
        <w:rPr>
          <w:rFonts w:hint="eastAsia" w:ascii="Times New Roman" w:hAnsi="Times New Roman" w:eastAsia="方正仿宋_GBK" w:cs="Times New Roman"/>
          <w:color w:val="auto"/>
          <w:sz w:val="32"/>
          <w:szCs w:val="32"/>
          <w:highlight w:val="none"/>
          <w:lang w:eastAsia="zh-CN"/>
        </w:rPr>
        <w:t>朱</w:t>
      </w:r>
      <w:r>
        <w:rPr>
          <w:rFonts w:ascii="Times New Roman" w:hAnsi="Times New Roman" w:eastAsia="方正仿宋_GBK" w:cs="Times New Roman"/>
          <w:color w:val="auto"/>
          <w:sz w:val="32"/>
          <w:szCs w:val="32"/>
          <w:highlight w:val="none"/>
        </w:rPr>
        <w:t xml:space="preserve">老师   </w:t>
      </w:r>
    </w:p>
    <w:p w14:paraId="3C304F7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ascii="Times New Roman" w:hAnsi="Times New Roman" w:eastAsia="方正仿宋_GBK" w:cs="Times New Roman"/>
          <w:color w:val="auto"/>
          <w:sz w:val="32"/>
          <w:szCs w:val="32"/>
          <w:highlight w:val="none"/>
        </w:rPr>
        <w:t>联系电话：</w:t>
      </w:r>
      <w:r>
        <w:rPr>
          <w:rFonts w:hint="eastAsia" w:ascii="Times New Roman" w:hAnsi="Times New Roman" w:eastAsia="方正仿宋_GBK" w:cs="Times New Roman"/>
          <w:color w:val="auto"/>
          <w:sz w:val="32"/>
          <w:szCs w:val="32"/>
          <w:highlight w:val="none"/>
          <w:lang w:val="en-US" w:eastAsia="zh-CN"/>
        </w:rPr>
        <w:t>023-</w:t>
      </w:r>
      <w:r>
        <w:rPr>
          <w:rFonts w:ascii="Times New Roman" w:hAnsi="Times New Roman" w:eastAsia="方正仿宋_GBK" w:cs="Times New Roman"/>
          <w:color w:val="auto"/>
          <w:sz w:val="32"/>
          <w:szCs w:val="32"/>
          <w:highlight w:val="none"/>
        </w:rPr>
        <w:t>88968</w:t>
      </w:r>
      <w:r>
        <w:rPr>
          <w:rFonts w:hint="eastAsia" w:ascii="Times New Roman" w:hAnsi="Times New Roman" w:eastAsia="方正仿宋_GBK" w:cs="Times New Roman"/>
          <w:color w:val="auto"/>
          <w:sz w:val="32"/>
          <w:szCs w:val="32"/>
          <w:highlight w:val="none"/>
          <w:lang w:val="en-US" w:eastAsia="zh-CN"/>
        </w:rPr>
        <w:t>736</w:t>
      </w:r>
    </w:p>
    <w:p w14:paraId="4F38C3B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招标人：重庆财经学院</w:t>
      </w:r>
    </w:p>
    <w:p w14:paraId="1135BD0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地址：重庆市巴南区龙洲湾尚文大道906号</w:t>
      </w:r>
      <w:r>
        <w:rPr>
          <w:rFonts w:hint="eastAsia" w:ascii="Times New Roman" w:hAnsi="Times New Roman" w:eastAsia="方正仿宋_GBK" w:cs="Times New Roman"/>
          <w:color w:val="auto"/>
          <w:sz w:val="32"/>
          <w:szCs w:val="32"/>
          <w:highlight w:val="none"/>
          <w:lang w:val="en-US" w:eastAsia="zh-CN"/>
        </w:rPr>
        <w:t>行政楼2420后勤处。</w:t>
      </w:r>
    </w:p>
    <w:p w14:paraId="544A1970">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color w:val="auto"/>
          <w:sz w:val="32"/>
          <w:szCs w:val="32"/>
          <w:highlight w:val="none"/>
          <w:lang w:val="en-US" w:eastAsia="zh-CN"/>
        </w:rPr>
      </w:pPr>
    </w:p>
    <w:p w14:paraId="0B5421F8">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color w:val="auto"/>
          <w:sz w:val="32"/>
          <w:szCs w:val="32"/>
          <w:highlight w:val="none"/>
          <w:lang w:val="en-US" w:eastAsia="zh-CN"/>
        </w:rPr>
      </w:pPr>
    </w:p>
    <w:p w14:paraId="783354EA">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br w:type="page"/>
      </w:r>
    </w:p>
    <w:p w14:paraId="644D809A">
      <w:pPr>
        <w:pStyle w:val="2"/>
        <w:numPr>
          <w:ilvl w:val="0"/>
          <w:numId w:val="0"/>
        </w:numPr>
        <w:spacing w:before="0" w:after="0" w:line="520" w:lineRule="exact"/>
        <w:ind w:left="432"/>
        <w:jc w:val="center"/>
        <w:rPr>
          <w:rFonts w:ascii="Times New Roman" w:hAnsi="Times New Roman" w:eastAsia="方正小标宋_GBK" w:cs="Times New Roman"/>
          <w:color w:val="auto"/>
          <w:highlight w:val="none"/>
        </w:rPr>
      </w:pPr>
      <w:bookmarkStart w:id="0" w:name="_Toc224103315"/>
      <w:bookmarkStart w:id="1" w:name="_Toc531594734"/>
      <w:bookmarkStart w:id="2" w:name="_Toc287607744"/>
      <w:bookmarkStart w:id="3" w:name="_Toc484637073"/>
      <w:bookmarkStart w:id="4" w:name="_Toc30163"/>
      <w:bookmarkStart w:id="5" w:name="_Toc481694468"/>
      <w:r>
        <w:rPr>
          <w:rFonts w:ascii="Times New Roman" w:hAnsi="Times New Roman" w:eastAsia="方正小标宋_GBK" w:cs="Times New Roman"/>
          <w:color w:val="auto"/>
          <w:highlight w:val="none"/>
        </w:rPr>
        <w:t>第二章 投标人需知</w:t>
      </w:r>
      <w:bookmarkEnd w:id="0"/>
      <w:bookmarkEnd w:id="1"/>
      <w:bookmarkEnd w:id="2"/>
      <w:bookmarkEnd w:id="3"/>
      <w:bookmarkEnd w:id="4"/>
      <w:bookmarkEnd w:id="5"/>
    </w:p>
    <w:p w14:paraId="0C4B8DDB">
      <w:pPr>
        <w:rPr>
          <w:rFonts w:ascii="Times New Roman" w:hAnsi="Times New Roman" w:cs="Times New Roman"/>
          <w:color w:val="auto"/>
          <w:highlight w:val="none"/>
        </w:rPr>
      </w:pPr>
    </w:p>
    <w:p w14:paraId="498DD257">
      <w:pPr>
        <w:jc w:val="center"/>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（投标人需知前附表）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515"/>
        <w:gridCol w:w="6092"/>
      </w:tblGrid>
      <w:tr w14:paraId="5666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0CB2DE4">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条款号</w:t>
            </w:r>
          </w:p>
        </w:tc>
        <w:tc>
          <w:tcPr>
            <w:tcW w:w="1515" w:type="dxa"/>
            <w:tcBorders>
              <w:top w:val="single" w:color="auto" w:sz="4" w:space="0"/>
              <w:left w:val="single" w:color="auto" w:sz="4" w:space="0"/>
              <w:bottom w:val="single" w:color="auto" w:sz="4" w:space="0"/>
              <w:right w:val="single" w:color="auto" w:sz="4" w:space="0"/>
            </w:tcBorders>
            <w:vAlign w:val="center"/>
          </w:tcPr>
          <w:p w14:paraId="6DAC7F4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条款名称</w:t>
            </w:r>
          </w:p>
        </w:tc>
        <w:tc>
          <w:tcPr>
            <w:tcW w:w="6092" w:type="dxa"/>
            <w:tcBorders>
              <w:top w:val="single" w:color="auto" w:sz="4" w:space="0"/>
              <w:left w:val="single" w:color="auto" w:sz="4" w:space="0"/>
              <w:bottom w:val="single" w:color="auto" w:sz="4" w:space="0"/>
              <w:right w:val="single" w:color="auto" w:sz="4" w:space="0"/>
            </w:tcBorders>
            <w:vAlign w:val="center"/>
          </w:tcPr>
          <w:p w14:paraId="0D9CE0BB">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编  列  内  容</w:t>
            </w:r>
          </w:p>
        </w:tc>
      </w:tr>
      <w:tr w14:paraId="419F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5" w:type="dxa"/>
            <w:tcBorders>
              <w:top w:val="single" w:color="auto" w:sz="4" w:space="0"/>
              <w:left w:val="single" w:color="auto" w:sz="4" w:space="0"/>
              <w:bottom w:val="single" w:color="auto" w:sz="4" w:space="0"/>
              <w:right w:val="single" w:color="auto" w:sz="4" w:space="0"/>
            </w:tcBorders>
            <w:vAlign w:val="center"/>
          </w:tcPr>
          <w:p w14:paraId="248532DB">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24FCBAE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项目名称</w:t>
            </w:r>
          </w:p>
        </w:tc>
        <w:tc>
          <w:tcPr>
            <w:tcW w:w="6092" w:type="dxa"/>
            <w:tcBorders>
              <w:top w:val="single" w:color="auto" w:sz="4" w:space="0"/>
              <w:left w:val="single" w:color="auto" w:sz="4" w:space="0"/>
              <w:bottom w:val="single" w:color="auto" w:sz="4" w:space="0"/>
              <w:right w:val="single" w:color="auto" w:sz="4" w:space="0"/>
            </w:tcBorders>
            <w:vAlign w:val="center"/>
          </w:tcPr>
          <w:p w14:paraId="0E99E983">
            <w:pPr>
              <w:spacing w:line="400" w:lineRule="exact"/>
              <w:jc w:val="lef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重庆财经学院</w:t>
            </w:r>
            <w:r>
              <w:rPr>
                <w:rFonts w:hint="eastAsia" w:ascii="Times New Roman" w:hAnsi="Times New Roman" w:eastAsia="方正仿宋_GBK" w:cs="Times New Roman"/>
                <w:color w:val="auto"/>
                <w:sz w:val="28"/>
                <w:szCs w:val="28"/>
                <w:highlight w:val="none"/>
                <w:lang w:eastAsia="zh-CN"/>
              </w:rPr>
              <w:t>大数据审计分析教学平台采购</w:t>
            </w:r>
            <w:r>
              <w:rPr>
                <w:rFonts w:hint="eastAsia" w:ascii="Times New Roman" w:hAnsi="Times New Roman" w:eastAsia="方正仿宋_GBK" w:cs="Times New Roman"/>
                <w:color w:val="auto"/>
                <w:sz w:val="28"/>
                <w:szCs w:val="28"/>
                <w:highlight w:val="none"/>
              </w:rPr>
              <w:t>项目</w:t>
            </w:r>
          </w:p>
        </w:tc>
      </w:tr>
      <w:tr w14:paraId="3438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602ED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1.1.2</w:t>
            </w:r>
          </w:p>
        </w:tc>
        <w:tc>
          <w:tcPr>
            <w:tcW w:w="1515" w:type="dxa"/>
            <w:tcBorders>
              <w:top w:val="single" w:color="auto" w:sz="4" w:space="0"/>
              <w:left w:val="single" w:color="auto" w:sz="4" w:space="0"/>
              <w:bottom w:val="single" w:color="auto" w:sz="4" w:space="0"/>
              <w:right w:val="single" w:color="auto" w:sz="4" w:space="0"/>
            </w:tcBorders>
            <w:vAlign w:val="center"/>
          </w:tcPr>
          <w:p w14:paraId="51F0C059">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招标人</w:t>
            </w:r>
          </w:p>
        </w:tc>
        <w:tc>
          <w:tcPr>
            <w:tcW w:w="6092" w:type="dxa"/>
            <w:tcBorders>
              <w:top w:val="single" w:color="auto" w:sz="4" w:space="0"/>
              <w:left w:val="single" w:color="auto" w:sz="4" w:space="0"/>
              <w:bottom w:val="single" w:color="auto" w:sz="4" w:space="0"/>
              <w:right w:val="single" w:color="auto" w:sz="4" w:space="0"/>
            </w:tcBorders>
            <w:vAlign w:val="center"/>
          </w:tcPr>
          <w:p w14:paraId="1C0FE78F">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单位名称：重庆财经学院</w:t>
            </w:r>
          </w:p>
          <w:p w14:paraId="29330888">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地   址：重庆市巴南区龙洲湾尚文大道906号</w:t>
            </w:r>
          </w:p>
          <w:p w14:paraId="25DB09FF">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联系人：</w:t>
            </w:r>
            <w:r>
              <w:rPr>
                <w:rFonts w:hint="eastAsia" w:ascii="Times New Roman" w:hAnsi="Times New Roman" w:eastAsia="方正仿宋_GBK" w:cs="Times New Roman"/>
                <w:color w:val="auto"/>
                <w:sz w:val="28"/>
                <w:szCs w:val="28"/>
                <w:highlight w:val="none"/>
                <w:lang w:val="en-US" w:eastAsia="zh-CN"/>
              </w:rPr>
              <w:t>朱</w:t>
            </w:r>
            <w:r>
              <w:rPr>
                <w:rFonts w:ascii="Times New Roman" w:hAnsi="Times New Roman" w:eastAsia="方正仿宋_GBK" w:cs="Times New Roman"/>
                <w:color w:val="auto"/>
                <w:sz w:val="28"/>
                <w:szCs w:val="28"/>
                <w:highlight w:val="none"/>
              </w:rPr>
              <w:t xml:space="preserve">老师  </w:t>
            </w:r>
          </w:p>
          <w:p w14:paraId="5F1B4524">
            <w:pPr>
              <w:spacing w:line="400" w:lineRule="exact"/>
              <w:rPr>
                <w:rFonts w:hint="default" w:ascii="Times New Roman" w:hAnsi="Times New Roman" w:eastAsia="方正仿宋_GBK" w:cs="Times New Roman"/>
                <w:color w:val="auto"/>
                <w:sz w:val="28"/>
                <w:szCs w:val="28"/>
                <w:highlight w:val="none"/>
                <w:lang w:val="en-US" w:eastAsia="zh-CN"/>
              </w:rPr>
            </w:pPr>
            <w:r>
              <w:rPr>
                <w:rFonts w:ascii="Times New Roman" w:hAnsi="Times New Roman" w:eastAsia="方正仿宋_GBK" w:cs="Times New Roman"/>
                <w:color w:val="auto"/>
                <w:sz w:val="28"/>
                <w:szCs w:val="28"/>
                <w:highlight w:val="none"/>
              </w:rPr>
              <w:t>电   话：88968</w:t>
            </w:r>
            <w:r>
              <w:rPr>
                <w:rFonts w:hint="eastAsia" w:ascii="Times New Roman" w:hAnsi="Times New Roman" w:eastAsia="方正仿宋_GBK" w:cs="Times New Roman"/>
                <w:color w:val="auto"/>
                <w:sz w:val="28"/>
                <w:szCs w:val="28"/>
                <w:highlight w:val="none"/>
                <w:lang w:val="en-US" w:eastAsia="zh-CN"/>
              </w:rPr>
              <w:t>736</w:t>
            </w:r>
          </w:p>
        </w:tc>
      </w:tr>
      <w:tr w14:paraId="684C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0758F7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1.2.1</w:t>
            </w:r>
          </w:p>
        </w:tc>
        <w:tc>
          <w:tcPr>
            <w:tcW w:w="1515" w:type="dxa"/>
            <w:tcBorders>
              <w:top w:val="single" w:color="auto" w:sz="4" w:space="0"/>
              <w:left w:val="single" w:color="auto" w:sz="4" w:space="0"/>
              <w:bottom w:val="single" w:color="auto" w:sz="4" w:space="0"/>
              <w:right w:val="single" w:color="auto" w:sz="4" w:space="0"/>
            </w:tcBorders>
            <w:vAlign w:val="center"/>
          </w:tcPr>
          <w:p w14:paraId="690EEAC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资金来源</w:t>
            </w:r>
          </w:p>
        </w:tc>
        <w:tc>
          <w:tcPr>
            <w:tcW w:w="6092" w:type="dxa"/>
            <w:tcBorders>
              <w:top w:val="single" w:color="auto" w:sz="4" w:space="0"/>
              <w:left w:val="single" w:color="auto" w:sz="4" w:space="0"/>
              <w:bottom w:val="single" w:color="auto" w:sz="4" w:space="0"/>
              <w:right w:val="single" w:color="auto" w:sz="4" w:space="0"/>
            </w:tcBorders>
            <w:vAlign w:val="center"/>
          </w:tcPr>
          <w:p w14:paraId="7C51C701">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招标人自筹</w:t>
            </w:r>
          </w:p>
        </w:tc>
      </w:tr>
      <w:tr w14:paraId="592E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834B36B">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1.3.1</w:t>
            </w:r>
          </w:p>
        </w:tc>
        <w:tc>
          <w:tcPr>
            <w:tcW w:w="1515" w:type="dxa"/>
            <w:tcBorders>
              <w:top w:val="single" w:color="auto" w:sz="4" w:space="0"/>
              <w:left w:val="single" w:color="auto" w:sz="4" w:space="0"/>
              <w:bottom w:val="single" w:color="auto" w:sz="4" w:space="0"/>
              <w:right w:val="single" w:color="auto" w:sz="4" w:space="0"/>
            </w:tcBorders>
            <w:vAlign w:val="center"/>
          </w:tcPr>
          <w:p w14:paraId="78D3F55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招标范围</w:t>
            </w:r>
          </w:p>
        </w:tc>
        <w:tc>
          <w:tcPr>
            <w:tcW w:w="6092" w:type="dxa"/>
            <w:tcBorders>
              <w:top w:val="single" w:color="auto" w:sz="4" w:space="0"/>
              <w:left w:val="single" w:color="auto" w:sz="4" w:space="0"/>
              <w:bottom w:val="single" w:color="auto" w:sz="4" w:space="0"/>
              <w:right w:val="single" w:color="auto" w:sz="4" w:space="0"/>
            </w:tcBorders>
            <w:vAlign w:val="center"/>
          </w:tcPr>
          <w:p w14:paraId="767748BE">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 xml:space="preserve">详见招标文件第三章 </w:t>
            </w:r>
            <w:r>
              <w:rPr>
                <w:rFonts w:hint="eastAsia" w:ascii="Times New Roman" w:hAnsi="Times New Roman" w:eastAsia="方正仿宋_GBK" w:cs="Times New Roman"/>
                <w:color w:val="auto"/>
                <w:sz w:val="28"/>
                <w:szCs w:val="28"/>
                <w:highlight w:val="none"/>
              </w:rPr>
              <w:t>招标数量及参数要求</w:t>
            </w:r>
          </w:p>
        </w:tc>
      </w:tr>
      <w:tr w14:paraId="0682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865" w:type="dxa"/>
            <w:tcBorders>
              <w:top w:val="single" w:color="auto" w:sz="4" w:space="0"/>
              <w:left w:val="single" w:color="auto" w:sz="4" w:space="0"/>
              <w:bottom w:val="single" w:color="auto" w:sz="4" w:space="0"/>
              <w:right w:val="single" w:color="auto" w:sz="4" w:space="0"/>
            </w:tcBorders>
            <w:vAlign w:val="center"/>
          </w:tcPr>
          <w:p w14:paraId="69206B8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1.3.2</w:t>
            </w:r>
          </w:p>
        </w:tc>
        <w:tc>
          <w:tcPr>
            <w:tcW w:w="1515" w:type="dxa"/>
            <w:tcBorders>
              <w:top w:val="single" w:color="auto" w:sz="4" w:space="0"/>
              <w:left w:val="single" w:color="auto" w:sz="4" w:space="0"/>
              <w:bottom w:val="single" w:color="auto" w:sz="4" w:space="0"/>
              <w:right w:val="single" w:color="auto" w:sz="4" w:space="0"/>
            </w:tcBorders>
            <w:vAlign w:val="center"/>
          </w:tcPr>
          <w:p w14:paraId="1BCA063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交货方式</w:t>
            </w:r>
          </w:p>
          <w:p w14:paraId="305E371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交货时间</w:t>
            </w:r>
          </w:p>
        </w:tc>
        <w:tc>
          <w:tcPr>
            <w:tcW w:w="6092" w:type="dxa"/>
            <w:tcBorders>
              <w:top w:val="single" w:color="auto" w:sz="4" w:space="0"/>
              <w:left w:val="single" w:color="auto" w:sz="4" w:space="0"/>
              <w:bottom w:val="single" w:color="auto" w:sz="4" w:space="0"/>
              <w:right w:val="single" w:color="auto" w:sz="4" w:space="0"/>
            </w:tcBorders>
            <w:vAlign w:val="center"/>
          </w:tcPr>
          <w:p w14:paraId="3BEBD631">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1.交货方式：重庆财经学院指定位置。</w:t>
            </w:r>
          </w:p>
          <w:p w14:paraId="19053D9B">
            <w:pPr>
              <w:spacing w:line="400" w:lineRule="exact"/>
              <w:rPr>
                <w:rFonts w:hint="eastAsia" w:ascii="Times New Roman" w:hAnsi="Times New Roman" w:eastAsia="方正仿宋_GBK" w:cs="Times New Roman"/>
                <w:color w:val="auto"/>
                <w:sz w:val="28"/>
                <w:szCs w:val="28"/>
                <w:highlight w:val="none"/>
                <w:lang w:eastAsia="zh-CN"/>
              </w:rPr>
            </w:pPr>
            <w:r>
              <w:rPr>
                <w:rFonts w:ascii="Times New Roman" w:hAnsi="Times New Roman" w:eastAsia="方正仿宋_GBK" w:cs="Times New Roman"/>
                <w:color w:val="auto"/>
                <w:sz w:val="28"/>
                <w:szCs w:val="28"/>
                <w:highlight w:val="none"/>
              </w:rPr>
              <w:t>2.交货时间：</w:t>
            </w:r>
            <w:r>
              <w:rPr>
                <w:rFonts w:hint="eastAsia" w:ascii="Times New Roman" w:hAnsi="Times New Roman" w:eastAsia="方正仿宋_GBK" w:cs="Times New Roman"/>
                <w:color w:val="auto"/>
                <w:sz w:val="28"/>
                <w:szCs w:val="28"/>
                <w:highlight w:val="none"/>
                <w:lang w:val="en-US" w:eastAsia="zh-CN"/>
              </w:rPr>
              <w:t>中标人应在采购合同签订后10个日历日内交货并完成安装调试。</w:t>
            </w:r>
          </w:p>
        </w:tc>
      </w:tr>
      <w:tr w14:paraId="464D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4" w:hRule="atLeast"/>
        </w:trPr>
        <w:tc>
          <w:tcPr>
            <w:tcW w:w="865" w:type="dxa"/>
            <w:tcBorders>
              <w:top w:val="single" w:color="auto" w:sz="4" w:space="0"/>
              <w:left w:val="single" w:color="auto" w:sz="4" w:space="0"/>
              <w:bottom w:val="single" w:color="auto" w:sz="4" w:space="0"/>
              <w:right w:val="single" w:color="auto" w:sz="4" w:space="0"/>
            </w:tcBorders>
            <w:vAlign w:val="center"/>
          </w:tcPr>
          <w:p w14:paraId="55E6BD4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1.3.3</w:t>
            </w:r>
          </w:p>
        </w:tc>
        <w:tc>
          <w:tcPr>
            <w:tcW w:w="1515" w:type="dxa"/>
            <w:tcBorders>
              <w:top w:val="single" w:color="auto" w:sz="4" w:space="0"/>
              <w:left w:val="single" w:color="auto" w:sz="4" w:space="0"/>
              <w:bottom w:val="single" w:color="auto" w:sz="4" w:space="0"/>
              <w:right w:val="single" w:color="auto" w:sz="4" w:space="0"/>
            </w:tcBorders>
            <w:vAlign w:val="center"/>
          </w:tcPr>
          <w:p w14:paraId="0FF95F29">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伴随服务要求</w:t>
            </w:r>
          </w:p>
        </w:tc>
        <w:tc>
          <w:tcPr>
            <w:tcW w:w="6092" w:type="dxa"/>
            <w:tcBorders>
              <w:top w:val="single" w:color="auto" w:sz="4" w:space="0"/>
              <w:left w:val="single" w:color="auto" w:sz="4" w:space="0"/>
              <w:bottom w:val="single" w:color="auto" w:sz="4" w:space="0"/>
              <w:right w:val="single" w:color="auto" w:sz="4" w:space="0"/>
            </w:tcBorders>
            <w:vAlign w:val="center"/>
          </w:tcPr>
          <w:p w14:paraId="1D268909">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1.商务要求：（一）投标人必须在投标文件中对以上条款和服务承诺明确列出，承诺内容必须达到本篇及招标文件其他条款的要求。</w:t>
            </w:r>
          </w:p>
          <w:p w14:paraId="45CB2668">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（二）其他未尽事宜由供需双方在采购合同中详细约定。</w:t>
            </w:r>
          </w:p>
          <w:p w14:paraId="1EE01FA6">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2.附件、图纸及包装要求：所有设备按照制造商规定的产品包装和随机标准附件为准。</w:t>
            </w:r>
          </w:p>
          <w:p w14:paraId="73DB865A">
            <w:pPr>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培训：投标人需对学校派出的参与此项目的老师，做本次采购软件架构及功能说明、软件的操作，软件的维护等进行培训；使负责教学的老师和技术负责人员能够完全掌握系统正常情况下的日常运行维护和简单故障的排除等。培训时长不低于16课时，学校参与培训人员不少于10人。</w:t>
            </w:r>
          </w:p>
          <w:p w14:paraId="6B0B7981">
            <w:pPr>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4.知识产权：采购人在中华人民共和国境内使用投标人提供的货物及服务时免受第三方提出的侵犯其专利权或其它知识产权的起诉。如果第三方提出侵权指控，中标人应承担由此而引起的一切法律责任和费用。</w:t>
            </w:r>
          </w:p>
        </w:tc>
      </w:tr>
      <w:tr w14:paraId="5FB3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0194A81">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1.3.4</w:t>
            </w:r>
          </w:p>
        </w:tc>
        <w:tc>
          <w:tcPr>
            <w:tcW w:w="1515" w:type="dxa"/>
            <w:tcBorders>
              <w:top w:val="single" w:color="auto" w:sz="4" w:space="0"/>
              <w:left w:val="single" w:color="auto" w:sz="4" w:space="0"/>
              <w:bottom w:val="single" w:color="auto" w:sz="4" w:space="0"/>
              <w:right w:val="single" w:color="auto" w:sz="4" w:space="0"/>
            </w:tcBorders>
            <w:vAlign w:val="center"/>
          </w:tcPr>
          <w:p w14:paraId="554C0709">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质量保证期</w:t>
            </w:r>
          </w:p>
        </w:tc>
        <w:tc>
          <w:tcPr>
            <w:tcW w:w="6092" w:type="dxa"/>
            <w:tcBorders>
              <w:top w:val="single" w:color="auto" w:sz="4" w:space="0"/>
              <w:left w:val="single" w:color="auto" w:sz="4" w:space="0"/>
              <w:bottom w:val="single" w:color="auto" w:sz="4" w:space="0"/>
              <w:right w:val="single" w:color="auto" w:sz="4" w:space="0"/>
            </w:tcBorders>
            <w:vAlign w:val="center"/>
          </w:tcPr>
          <w:p w14:paraId="2BB5E8EB">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1.投标人应明确承诺：其投标产品质量保证期达到3年。</w:t>
            </w:r>
          </w:p>
          <w:p w14:paraId="45854875">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2.投标产品属于国家规定“三包”范围的，其产品质量保证期不得低于“三包”规定。</w:t>
            </w:r>
          </w:p>
          <w:p w14:paraId="361071B4">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3.投标人的质量保证期承诺优于国家“三包”规定的，按投标人实际承诺执行。</w:t>
            </w:r>
          </w:p>
          <w:p w14:paraId="28B5C4B0">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4.投标产品由制造商（指产品生产制造商，或其负责销售、售后服务机构，以下同）负责标准售后服务的，应当在投标文件中予以明确说明,并附制造商售后服务承诺。</w:t>
            </w:r>
          </w:p>
        </w:tc>
      </w:tr>
      <w:tr w14:paraId="65E7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89DC4F5">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1.3.5</w:t>
            </w:r>
          </w:p>
        </w:tc>
        <w:tc>
          <w:tcPr>
            <w:tcW w:w="1515" w:type="dxa"/>
            <w:tcBorders>
              <w:top w:val="single" w:color="auto" w:sz="4" w:space="0"/>
              <w:left w:val="single" w:color="auto" w:sz="4" w:space="0"/>
              <w:bottom w:val="single" w:color="auto" w:sz="4" w:space="0"/>
              <w:right w:val="single" w:color="auto" w:sz="4" w:space="0"/>
            </w:tcBorders>
            <w:vAlign w:val="center"/>
          </w:tcPr>
          <w:p w14:paraId="5799D70D">
            <w:pPr>
              <w:spacing w:line="400" w:lineRule="exact"/>
              <w:jc w:val="center"/>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参数</w:t>
            </w:r>
            <w:r>
              <w:rPr>
                <w:rFonts w:ascii="Times New Roman" w:hAnsi="Times New Roman" w:eastAsia="方正仿宋_GBK" w:cs="Times New Roman"/>
                <w:color w:val="auto"/>
                <w:sz w:val="28"/>
                <w:szCs w:val="28"/>
                <w:highlight w:val="none"/>
              </w:rPr>
              <w:t>要求</w:t>
            </w:r>
          </w:p>
        </w:tc>
        <w:tc>
          <w:tcPr>
            <w:tcW w:w="6092" w:type="dxa"/>
            <w:tcBorders>
              <w:top w:val="single" w:color="auto" w:sz="4" w:space="0"/>
              <w:left w:val="single" w:color="auto" w:sz="4" w:space="0"/>
              <w:bottom w:val="single" w:color="auto" w:sz="4" w:space="0"/>
              <w:right w:val="single" w:color="auto" w:sz="4" w:space="0"/>
            </w:tcBorders>
            <w:vAlign w:val="center"/>
          </w:tcPr>
          <w:p w14:paraId="43DBE4D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详见第三章</w:t>
            </w:r>
          </w:p>
        </w:tc>
      </w:tr>
      <w:tr w14:paraId="113B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09FBC8E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1.3.6</w:t>
            </w:r>
          </w:p>
        </w:tc>
        <w:tc>
          <w:tcPr>
            <w:tcW w:w="1515" w:type="dxa"/>
            <w:tcBorders>
              <w:top w:val="single" w:color="auto" w:sz="4" w:space="0"/>
              <w:left w:val="single" w:color="auto" w:sz="4" w:space="0"/>
              <w:bottom w:val="single" w:color="auto" w:sz="4" w:space="0"/>
              <w:right w:val="single" w:color="auto" w:sz="4" w:space="0"/>
            </w:tcBorders>
            <w:vAlign w:val="center"/>
          </w:tcPr>
          <w:p w14:paraId="1B55FA1E">
            <w:pPr>
              <w:widowControl/>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售后服务</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center"/>
          </w:tcPr>
          <w:p w14:paraId="793A5760">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（一）售后服务内容</w:t>
            </w:r>
          </w:p>
          <w:p w14:paraId="48596A54">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1.投标人和制造商在质量保证期内应当为采购人提供以下技术支持和服务：</w:t>
            </w:r>
          </w:p>
          <w:p w14:paraId="64A06430">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1.1电话咨询7*12小时</w:t>
            </w:r>
          </w:p>
          <w:p w14:paraId="6D220E8B">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中标人和制造商应当为采购人提供技术援助电话，解答采购人在使用中遇到的问题，及时为采购人提出解决问题的建议。</w:t>
            </w:r>
          </w:p>
          <w:p w14:paraId="68AC3415">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1.2现场响应</w:t>
            </w:r>
          </w:p>
          <w:p w14:paraId="3DB87D94">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采购人遇到使用及技术问题，电话咨询不能解决的，中标人和制造商应在4小时内到达现场进行处理，确保产品正常工作；无法在4小时内解决的，应在8小时内提供备用产品，使采购人能够正常使用。</w:t>
            </w:r>
          </w:p>
          <w:p w14:paraId="0FAE22B7">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1.3免费软件升级</w:t>
            </w:r>
          </w:p>
          <w:p w14:paraId="344570F5">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软件需提供不少于3年的免费升级；每年及时根据最新内容，免费提供升级服务。</w:t>
            </w:r>
          </w:p>
          <w:p w14:paraId="428A7EBB">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2.质保期外服务要求</w:t>
            </w:r>
          </w:p>
          <w:p w14:paraId="7D3CB7EE">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2.1质量保证期后，投标人和制造商应同样提供免费电话咨询服务，并应承诺提供产品上门维护服务，每年提供数据集更新服务。</w:t>
            </w:r>
          </w:p>
          <w:p w14:paraId="3F06988C">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2.2质量保证期过后，采购人需要继续由原投标人和制造商提供售后服务的，该投标人和制造商应以优惠价格提供售后服务，每年提供数据集更新服务。</w:t>
            </w:r>
          </w:p>
          <w:p w14:paraId="4A9E366F">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（二）备品备件及易损件</w:t>
            </w:r>
          </w:p>
          <w:p w14:paraId="5B7E181C">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中标人和制造商售后服务中，维修使用的备品备件及易损件应为原厂配件，未经采购人同意不得使用非原厂配件，常用的、容易损坏的备品备件及易损件的价格清单须在投标文件中列出。</w:t>
            </w:r>
          </w:p>
        </w:tc>
      </w:tr>
      <w:tr w14:paraId="071A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ABB752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1.3.7</w:t>
            </w:r>
          </w:p>
        </w:tc>
        <w:tc>
          <w:tcPr>
            <w:tcW w:w="1515" w:type="dxa"/>
            <w:tcBorders>
              <w:top w:val="single" w:color="auto" w:sz="4" w:space="0"/>
              <w:left w:val="single" w:color="auto" w:sz="4" w:space="0"/>
              <w:bottom w:val="single" w:color="auto" w:sz="4" w:space="0"/>
              <w:right w:val="single" w:color="auto" w:sz="4" w:space="0"/>
            </w:tcBorders>
            <w:vAlign w:val="center"/>
          </w:tcPr>
          <w:p w14:paraId="74898EC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项目验收</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top"/>
          </w:tcPr>
          <w:p w14:paraId="31E3B9C3">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1.货物到达现场后，中标人应在使用单位人员在场情况下当面开箱，共同清点、检查外观，作出开箱记录，双方签字确认。</w:t>
            </w:r>
          </w:p>
          <w:p w14:paraId="44ACEE1D">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2.中标人应保证货物到达采购人所在地完好无损，如有缺漏、损坏，由投标人负责调换、补齐或赔偿。</w:t>
            </w:r>
          </w:p>
          <w:p w14:paraId="32B37FDD">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3.中标人应提供完备的技术资料、装箱单和合格证等，并派遣专业技术人员进行现场安装调试。验收合格条件如下：</w:t>
            </w:r>
          </w:p>
          <w:p w14:paraId="7F7251F3">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3.1设备技术参数与采购合同一致，性能指标达到规定的标准。</w:t>
            </w:r>
          </w:p>
          <w:p w14:paraId="1C962888">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3.2货物技术资料、装箱单、合格证等资料齐全。</w:t>
            </w:r>
          </w:p>
          <w:p w14:paraId="10773911">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3.3在系统试运行期间所出现的问题得到解决，并运行正常。</w:t>
            </w:r>
          </w:p>
          <w:p w14:paraId="47F27F7B">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3.4在规定时间内完成交货并验收，并经采购人确认。</w:t>
            </w:r>
          </w:p>
          <w:p w14:paraId="51293400">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4.产品在安装调试并试运行符合要求，且成功试运行一学期后才作为最终验收。</w:t>
            </w:r>
          </w:p>
          <w:p w14:paraId="66C66110">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5.投标人提供的货物未达到招标文件规定要求，且对采购人造成损失的，由投标人承担一切责任，并赔偿所造成的损失。</w:t>
            </w:r>
          </w:p>
          <w:p w14:paraId="2F3EEB36">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6.产品包装材料归采购人所有。</w:t>
            </w:r>
          </w:p>
        </w:tc>
      </w:tr>
      <w:tr w14:paraId="132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A64DF7B">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1.4.1</w:t>
            </w:r>
          </w:p>
        </w:tc>
        <w:tc>
          <w:tcPr>
            <w:tcW w:w="1515" w:type="dxa"/>
            <w:tcBorders>
              <w:top w:val="single" w:color="auto" w:sz="4" w:space="0"/>
              <w:left w:val="single" w:color="auto" w:sz="4" w:space="0"/>
              <w:bottom w:val="single" w:color="auto" w:sz="4" w:space="0"/>
              <w:right w:val="single" w:color="auto" w:sz="4" w:space="0"/>
            </w:tcBorders>
            <w:vAlign w:val="center"/>
          </w:tcPr>
          <w:p w14:paraId="2ADE42D5">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投标人资质条件、能力和信誉</w:t>
            </w:r>
          </w:p>
        </w:tc>
        <w:tc>
          <w:tcPr>
            <w:tcW w:w="6092" w:type="dxa"/>
            <w:tcBorders>
              <w:top w:val="single" w:color="auto" w:sz="4" w:space="0"/>
              <w:left w:val="single" w:color="auto" w:sz="4" w:space="0"/>
              <w:bottom w:val="single" w:color="auto" w:sz="4" w:space="0"/>
              <w:right w:val="single" w:color="auto" w:sz="4" w:space="0"/>
            </w:tcBorders>
            <w:vAlign w:val="center"/>
          </w:tcPr>
          <w:p w14:paraId="2BB6B45B">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本项目招标实行资格后审，投标人应具备以下资格条件：</w:t>
            </w:r>
          </w:p>
          <w:p w14:paraId="02A0C4C8">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1．投标人具有独立承担民事责任的能力；</w:t>
            </w:r>
          </w:p>
          <w:p w14:paraId="152C045B">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2．投标人具有良好的商业信誉和健全的财务会计制度，需提供近三年的财务报表；</w:t>
            </w:r>
          </w:p>
          <w:p w14:paraId="43974E0C">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3．投标人具有依法缴纳税收和社会保障资金的良好纪录；</w:t>
            </w:r>
          </w:p>
          <w:p w14:paraId="7D46917B">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4．投标人具有履行合同所必需的专业技术能力；</w:t>
            </w:r>
          </w:p>
          <w:p w14:paraId="03B50404">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5．投标人参加政府采购活动前三年内，没有骗取中标行为，无不正当理由放弃中标（成交）行为，未进行过恶意投诉，在经营活动中没有违法、违规记录；</w:t>
            </w:r>
          </w:p>
          <w:p w14:paraId="491A4684">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 xml:space="preserve">6．投标人具有完善的质量保证和售后服务体系； </w:t>
            </w:r>
          </w:p>
          <w:p w14:paraId="650F3326">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7.投标方具有5年（含）以上的经营时间，需提供2022年1月1日以来由投标人签署的高校相关项目合同复印件（单个合同金额至少30万）及类似项目履约能力证明材料；</w:t>
            </w:r>
          </w:p>
          <w:p w14:paraId="7CDEB848">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32"/>
                <w:szCs w:val="32"/>
                <w:highlight w:val="none"/>
                <w:lang w:val="en-US" w:eastAsia="zh-CN"/>
              </w:rPr>
              <w:t>8.投标人具有本项目软件的知识产权或经销授权。</w:t>
            </w:r>
          </w:p>
        </w:tc>
      </w:tr>
      <w:tr w14:paraId="3B2C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865" w:type="dxa"/>
            <w:tcBorders>
              <w:top w:val="single" w:color="auto" w:sz="4" w:space="0"/>
              <w:left w:val="single" w:color="auto" w:sz="4" w:space="0"/>
              <w:bottom w:val="single" w:color="auto" w:sz="4" w:space="0"/>
              <w:right w:val="single" w:color="auto" w:sz="4" w:space="0"/>
            </w:tcBorders>
            <w:vAlign w:val="center"/>
          </w:tcPr>
          <w:p w14:paraId="51CC2216">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1.4.2</w:t>
            </w:r>
          </w:p>
        </w:tc>
        <w:tc>
          <w:tcPr>
            <w:tcW w:w="1515" w:type="dxa"/>
            <w:tcBorders>
              <w:top w:val="single" w:color="auto" w:sz="4" w:space="0"/>
              <w:left w:val="single" w:color="auto" w:sz="4" w:space="0"/>
              <w:bottom w:val="single" w:color="auto" w:sz="4" w:space="0"/>
              <w:right w:val="single" w:color="auto" w:sz="4" w:space="0"/>
            </w:tcBorders>
            <w:vAlign w:val="center"/>
          </w:tcPr>
          <w:p w14:paraId="1F4476EB">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是否接受联合体投标</w:t>
            </w:r>
          </w:p>
        </w:tc>
        <w:tc>
          <w:tcPr>
            <w:tcW w:w="6092" w:type="dxa"/>
            <w:tcBorders>
              <w:top w:val="single" w:color="auto" w:sz="4" w:space="0"/>
              <w:left w:val="single" w:color="auto" w:sz="4" w:space="0"/>
              <w:bottom w:val="single" w:color="auto" w:sz="4" w:space="0"/>
              <w:right w:val="single" w:color="auto" w:sz="4" w:space="0"/>
            </w:tcBorders>
            <w:vAlign w:val="center"/>
          </w:tcPr>
          <w:p w14:paraId="2092CF71">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不接受。</w:t>
            </w:r>
          </w:p>
        </w:tc>
      </w:tr>
      <w:tr w14:paraId="5064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677DAA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1.9.1</w:t>
            </w:r>
          </w:p>
        </w:tc>
        <w:tc>
          <w:tcPr>
            <w:tcW w:w="1515" w:type="dxa"/>
            <w:tcBorders>
              <w:top w:val="single" w:color="auto" w:sz="4" w:space="0"/>
              <w:left w:val="single" w:color="auto" w:sz="4" w:space="0"/>
              <w:bottom w:val="single" w:color="auto" w:sz="4" w:space="0"/>
              <w:right w:val="single" w:color="auto" w:sz="4" w:space="0"/>
            </w:tcBorders>
            <w:vAlign w:val="center"/>
          </w:tcPr>
          <w:p w14:paraId="7F0B41A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踏勘现场</w:t>
            </w:r>
          </w:p>
        </w:tc>
        <w:tc>
          <w:tcPr>
            <w:tcW w:w="6092" w:type="dxa"/>
            <w:tcBorders>
              <w:top w:val="single" w:color="auto" w:sz="4" w:space="0"/>
              <w:left w:val="single" w:color="auto" w:sz="4" w:space="0"/>
              <w:bottom w:val="single" w:color="auto" w:sz="4" w:space="0"/>
              <w:right w:val="single" w:color="auto" w:sz="4" w:space="0"/>
            </w:tcBorders>
            <w:vAlign w:val="center"/>
          </w:tcPr>
          <w:p w14:paraId="6DE39F54">
            <w:pPr>
              <w:tabs>
                <w:tab w:val="center" w:pos="4153"/>
                <w:tab w:val="right" w:pos="8306"/>
              </w:tabs>
              <w:snapToGrid w:val="0"/>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联系人：</w:t>
            </w:r>
            <w:r>
              <w:rPr>
                <w:rFonts w:hint="eastAsia" w:ascii="Times New Roman" w:hAnsi="Times New Roman" w:eastAsia="方正仿宋_GBK" w:cs="Times New Roman"/>
                <w:color w:val="auto"/>
                <w:sz w:val="28"/>
                <w:szCs w:val="28"/>
                <w:highlight w:val="none"/>
                <w:lang w:eastAsia="zh-CN"/>
              </w:rPr>
              <w:t>朱</w:t>
            </w:r>
            <w:r>
              <w:rPr>
                <w:rFonts w:hint="eastAsia" w:ascii="Times New Roman" w:hAnsi="Times New Roman" w:eastAsia="方正仿宋_GBK" w:cs="Times New Roman"/>
                <w:color w:val="auto"/>
                <w:sz w:val="28"/>
                <w:szCs w:val="28"/>
                <w:highlight w:val="none"/>
              </w:rPr>
              <w:t>老师（023-</w:t>
            </w:r>
            <w:r>
              <w:rPr>
                <w:rFonts w:hint="eastAsia" w:ascii="Times New Roman" w:hAnsi="Times New Roman" w:eastAsia="方正仿宋_GBK" w:cs="Times New Roman"/>
                <w:color w:val="auto"/>
                <w:sz w:val="28"/>
                <w:szCs w:val="28"/>
                <w:highlight w:val="none"/>
                <w:lang w:val="en-US" w:eastAsia="zh-CN"/>
              </w:rPr>
              <w:t>88968736</w:t>
            </w:r>
            <w:r>
              <w:rPr>
                <w:rFonts w:hint="eastAsia" w:ascii="Times New Roman" w:hAnsi="Times New Roman" w:eastAsia="方正仿宋_GBK" w:cs="Times New Roman"/>
                <w:color w:val="auto"/>
                <w:sz w:val="28"/>
                <w:szCs w:val="28"/>
                <w:highlight w:val="none"/>
              </w:rPr>
              <w:t>）</w:t>
            </w:r>
          </w:p>
        </w:tc>
      </w:tr>
      <w:tr w14:paraId="2F99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3AE2FA">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1.10.1</w:t>
            </w:r>
          </w:p>
        </w:tc>
        <w:tc>
          <w:tcPr>
            <w:tcW w:w="1515" w:type="dxa"/>
            <w:tcBorders>
              <w:top w:val="single" w:color="auto" w:sz="4" w:space="0"/>
              <w:left w:val="single" w:color="auto" w:sz="4" w:space="0"/>
              <w:bottom w:val="single" w:color="auto" w:sz="4" w:space="0"/>
              <w:right w:val="single" w:color="auto" w:sz="4" w:space="0"/>
            </w:tcBorders>
            <w:vAlign w:val="center"/>
          </w:tcPr>
          <w:p w14:paraId="3B225934">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投标预备会</w:t>
            </w:r>
          </w:p>
        </w:tc>
        <w:tc>
          <w:tcPr>
            <w:tcW w:w="6092" w:type="dxa"/>
            <w:tcBorders>
              <w:top w:val="single" w:color="auto" w:sz="4" w:space="0"/>
              <w:left w:val="single" w:color="auto" w:sz="4" w:space="0"/>
              <w:bottom w:val="single" w:color="auto" w:sz="4" w:space="0"/>
              <w:right w:val="single" w:color="auto" w:sz="4" w:space="0"/>
            </w:tcBorders>
            <w:vAlign w:val="center"/>
          </w:tcPr>
          <w:p w14:paraId="2FC4E533">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不召开</w:t>
            </w:r>
          </w:p>
        </w:tc>
      </w:tr>
      <w:tr w14:paraId="66E8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60359A8">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39935CB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是否允许</w:t>
            </w:r>
          </w:p>
          <w:p w14:paraId="6557EA4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分包</w:t>
            </w:r>
          </w:p>
        </w:tc>
        <w:tc>
          <w:tcPr>
            <w:tcW w:w="6092" w:type="dxa"/>
            <w:tcBorders>
              <w:top w:val="single" w:color="auto" w:sz="4" w:space="0"/>
              <w:left w:val="single" w:color="auto" w:sz="4" w:space="0"/>
              <w:bottom w:val="single" w:color="auto" w:sz="4" w:space="0"/>
              <w:right w:val="single" w:color="auto" w:sz="4" w:space="0"/>
            </w:tcBorders>
            <w:vAlign w:val="center"/>
          </w:tcPr>
          <w:p w14:paraId="78C2DEC2">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w:t>
            </w:r>
          </w:p>
        </w:tc>
      </w:tr>
      <w:tr w14:paraId="6FD9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7E249E5">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2.1</w:t>
            </w:r>
          </w:p>
        </w:tc>
        <w:tc>
          <w:tcPr>
            <w:tcW w:w="1515" w:type="dxa"/>
            <w:tcBorders>
              <w:top w:val="single" w:color="auto" w:sz="4" w:space="0"/>
              <w:left w:val="single" w:color="auto" w:sz="4" w:space="0"/>
              <w:bottom w:val="single" w:color="auto" w:sz="4" w:space="0"/>
              <w:right w:val="single" w:color="auto" w:sz="4" w:space="0"/>
            </w:tcBorders>
            <w:vAlign w:val="center"/>
          </w:tcPr>
          <w:p w14:paraId="0F39864C">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构成招标文件的其他材料</w:t>
            </w:r>
          </w:p>
        </w:tc>
        <w:tc>
          <w:tcPr>
            <w:tcW w:w="6092" w:type="dxa"/>
            <w:tcBorders>
              <w:top w:val="single" w:color="auto" w:sz="4" w:space="0"/>
              <w:left w:val="single" w:color="auto" w:sz="4" w:space="0"/>
              <w:bottom w:val="single" w:color="auto" w:sz="4" w:space="0"/>
              <w:right w:val="single" w:color="auto" w:sz="4" w:space="0"/>
            </w:tcBorders>
            <w:vAlign w:val="center"/>
          </w:tcPr>
          <w:p w14:paraId="2CE1DC9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招标文件需修改或根据投标人提出的问题进行修改、澄清或答疑，招标人将在网上发出补遗通知，请投标人自行查阅和下载。</w:t>
            </w:r>
          </w:p>
        </w:tc>
      </w:tr>
      <w:tr w14:paraId="6074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D616AD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2.2.1</w:t>
            </w:r>
          </w:p>
        </w:tc>
        <w:tc>
          <w:tcPr>
            <w:tcW w:w="1515" w:type="dxa"/>
            <w:tcBorders>
              <w:top w:val="single" w:color="auto" w:sz="4" w:space="0"/>
              <w:left w:val="single" w:color="auto" w:sz="4" w:space="0"/>
              <w:bottom w:val="single" w:color="auto" w:sz="4" w:space="0"/>
              <w:right w:val="single" w:color="auto" w:sz="4" w:space="0"/>
            </w:tcBorders>
            <w:vAlign w:val="center"/>
          </w:tcPr>
          <w:p w14:paraId="1D4BA4C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对招标文件的疑问</w:t>
            </w:r>
          </w:p>
        </w:tc>
        <w:tc>
          <w:tcPr>
            <w:tcW w:w="6092" w:type="dxa"/>
            <w:tcBorders>
              <w:top w:val="single" w:color="auto" w:sz="4" w:space="0"/>
              <w:left w:val="single" w:color="auto" w:sz="4" w:space="0"/>
              <w:bottom w:val="single" w:color="auto" w:sz="4" w:space="0"/>
              <w:right w:val="single" w:color="auto" w:sz="4" w:space="0"/>
            </w:tcBorders>
            <w:vAlign w:val="center"/>
          </w:tcPr>
          <w:p w14:paraId="79FD1977">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1.参与本项目的投标人对招标文件如有疑问的，应在规定时间内电话联系023-88968736，以书面形式提交质疑函并附上必要的证明材料。如在规定时间内没有提出疑问，视为完全理解并接受招标文件的所有内容</w:t>
            </w:r>
            <w:r>
              <w:rPr>
                <w:rFonts w:ascii="Times New Roman" w:hAnsi="Times New Roman" w:eastAsia="方正仿宋_GBK" w:cs="Times New Roman"/>
                <w:color w:val="auto"/>
                <w:sz w:val="28"/>
                <w:szCs w:val="28"/>
                <w:highlight w:val="none"/>
              </w:rPr>
              <w:t>。</w:t>
            </w:r>
          </w:p>
          <w:p w14:paraId="0B5869E3">
            <w:pPr>
              <w:spacing w:line="400" w:lineRule="exact"/>
              <w:rPr>
                <w:rFonts w:hint="default" w:ascii="Times New Roman" w:hAnsi="Times New Roman" w:eastAsia="方正仿宋_GBK" w:cs="Times New Roman"/>
                <w:color w:val="auto"/>
                <w:sz w:val="28"/>
                <w:szCs w:val="28"/>
                <w:highlight w:val="none"/>
                <w:lang w:val="en-US" w:eastAsia="zh-CN"/>
              </w:rPr>
            </w:pPr>
            <w:r>
              <w:rPr>
                <w:rFonts w:ascii="Times New Roman" w:hAnsi="Times New Roman" w:eastAsia="方正仿宋_GBK" w:cs="Times New Roman"/>
                <w:color w:val="auto"/>
                <w:sz w:val="28"/>
                <w:szCs w:val="28"/>
                <w:highlight w:val="none"/>
              </w:rPr>
              <w:t>2.提出疑问</w:t>
            </w:r>
            <w:r>
              <w:rPr>
                <w:rFonts w:hint="eastAsia" w:ascii="Times New Roman" w:hAnsi="Times New Roman" w:eastAsia="方正仿宋_GBK" w:cs="Times New Roman"/>
                <w:color w:val="auto"/>
                <w:sz w:val="28"/>
                <w:szCs w:val="28"/>
                <w:highlight w:val="none"/>
                <w:lang w:eastAsia="zh-CN"/>
              </w:rPr>
              <w:t>的</w:t>
            </w:r>
            <w:r>
              <w:rPr>
                <w:rFonts w:hint="eastAsia" w:ascii="Times New Roman" w:hAnsi="Times New Roman" w:eastAsia="方正仿宋_GBK" w:cs="Times New Roman"/>
                <w:color w:val="auto"/>
                <w:sz w:val="28"/>
                <w:szCs w:val="28"/>
                <w:highlight w:val="none"/>
                <w:lang w:val="en-US" w:eastAsia="zh-CN"/>
              </w:rPr>
              <w:t>时间：2025年11月14日内</w:t>
            </w:r>
          </w:p>
        </w:tc>
      </w:tr>
      <w:tr w14:paraId="23DC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80F1B4">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2.3</w:t>
            </w:r>
          </w:p>
        </w:tc>
        <w:tc>
          <w:tcPr>
            <w:tcW w:w="1515" w:type="dxa"/>
            <w:tcBorders>
              <w:top w:val="single" w:color="auto" w:sz="4" w:space="0"/>
              <w:left w:val="single" w:color="auto" w:sz="4" w:space="0"/>
              <w:bottom w:val="single" w:color="auto" w:sz="4" w:space="0"/>
              <w:right w:val="single" w:color="auto" w:sz="4" w:space="0"/>
            </w:tcBorders>
            <w:vAlign w:val="center"/>
          </w:tcPr>
          <w:p w14:paraId="07C57B0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招标文件的澄清、修改和答疑</w:t>
            </w:r>
          </w:p>
        </w:tc>
        <w:tc>
          <w:tcPr>
            <w:tcW w:w="6092" w:type="dxa"/>
            <w:tcBorders>
              <w:top w:val="single" w:color="auto" w:sz="4" w:space="0"/>
              <w:left w:val="single" w:color="auto" w:sz="4" w:space="0"/>
              <w:bottom w:val="single" w:color="auto" w:sz="4" w:space="0"/>
              <w:right w:val="single" w:color="auto" w:sz="4" w:space="0"/>
            </w:tcBorders>
            <w:vAlign w:val="center"/>
          </w:tcPr>
          <w:p w14:paraId="6B91287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1.招标人对已发出的招标文件需要进行澄清、修改或对疑问作答的，将在重庆财经学院校园网（http://www.cfec.edu.cn）”上发布。</w:t>
            </w:r>
          </w:p>
          <w:p w14:paraId="160A3CE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2.答疑发布时间：收到书面质疑后7个工作日内。</w:t>
            </w:r>
          </w:p>
          <w:p w14:paraId="4B1D5AEF">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投标人自行登录重庆财经学院校园网（http://www.cfec.edu.cn）直接下载澄清、修改或对疑问作答的相关资料。不论投标人下载与否，招标人都视为投标人收到以上资料并全部知晓有关招标过程和事宜，由此产生的一切后果由投标人自负。</w:t>
            </w:r>
          </w:p>
        </w:tc>
      </w:tr>
      <w:tr w14:paraId="41D0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DF5154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w:t>
            </w:r>
          </w:p>
        </w:tc>
        <w:tc>
          <w:tcPr>
            <w:tcW w:w="1515" w:type="dxa"/>
            <w:tcBorders>
              <w:top w:val="single" w:color="auto" w:sz="4" w:space="0"/>
              <w:left w:val="single" w:color="auto" w:sz="4" w:space="0"/>
              <w:bottom w:val="single" w:color="auto" w:sz="4" w:space="0"/>
              <w:right w:val="single" w:color="auto" w:sz="4" w:space="0"/>
            </w:tcBorders>
            <w:vAlign w:val="center"/>
          </w:tcPr>
          <w:p w14:paraId="6E3F19B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05CA6D4E">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投标文件的组成和内容必须实质性响应招标文件的要求，否则将被拒绝。</w:t>
            </w:r>
          </w:p>
        </w:tc>
      </w:tr>
      <w:tr w14:paraId="6A7E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555EFE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3.1.1</w:t>
            </w:r>
          </w:p>
        </w:tc>
        <w:tc>
          <w:tcPr>
            <w:tcW w:w="1515" w:type="dxa"/>
            <w:tcBorders>
              <w:top w:val="single" w:color="auto" w:sz="4" w:space="0"/>
              <w:left w:val="single" w:color="auto" w:sz="4" w:space="0"/>
              <w:bottom w:val="single" w:color="auto" w:sz="4" w:space="0"/>
              <w:right w:val="single" w:color="auto" w:sz="4" w:space="0"/>
            </w:tcBorders>
            <w:vAlign w:val="center"/>
          </w:tcPr>
          <w:p w14:paraId="2CE0AEC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投标文件的构成</w:t>
            </w:r>
          </w:p>
        </w:tc>
        <w:tc>
          <w:tcPr>
            <w:tcW w:w="6092" w:type="dxa"/>
            <w:tcBorders>
              <w:top w:val="single" w:color="auto" w:sz="4" w:space="0"/>
              <w:left w:val="single" w:color="auto" w:sz="4" w:space="0"/>
              <w:bottom w:val="single" w:color="auto" w:sz="4" w:space="0"/>
              <w:right w:val="single" w:color="auto" w:sz="4" w:space="0"/>
            </w:tcBorders>
            <w:vAlign w:val="center"/>
          </w:tcPr>
          <w:p w14:paraId="429D1368">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1.投标文件计量单位：采用国家法定计量单位（标准）；</w:t>
            </w:r>
          </w:p>
          <w:p w14:paraId="1EFE48D6">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2.投标文件的组成必须统一格式（见招标文件第五章内容）</w:t>
            </w:r>
          </w:p>
          <w:p w14:paraId="1C3CFB3B">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3.投标人的书面澄清、说明和补正（但不得改变投标文件的实质性内容）。</w:t>
            </w:r>
          </w:p>
        </w:tc>
      </w:tr>
      <w:tr w14:paraId="69AD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F047F66">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3.2.1</w:t>
            </w:r>
          </w:p>
        </w:tc>
        <w:tc>
          <w:tcPr>
            <w:tcW w:w="1515" w:type="dxa"/>
            <w:tcBorders>
              <w:top w:val="single" w:color="auto" w:sz="4" w:space="0"/>
              <w:left w:val="single" w:color="auto" w:sz="4" w:space="0"/>
              <w:bottom w:val="single" w:color="auto" w:sz="4" w:space="0"/>
              <w:right w:val="single" w:color="auto" w:sz="4" w:space="0"/>
            </w:tcBorders>
            <w:vAlign w:val="center"/>
          </w:tcPr>
          <w:p w14:paraId="0A98339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投标报价</w:t>
            </w:r>
          </w:p>
        </w:tc>
        <w:tc>
          <w:tcPr>
            <w:tcW w:w="6092" w:type="dxa"/>
            <w:tcBorders>
              <w:top w:val="single" w:color="auto" w:sz="4" w:space="0"/>
              <w:left w:val="single" w:color="auto" w:sz="4" w:space="0"/>
              <w:bottom w:val="single" w:color="auto" w:sz="4" w:space="0"/>
              <w:right w:val="single" w:color="auto" w:sz="4" w:space="0"/>
            </w:tcBorders>
            <w:vAlign w:val="center"/>
          </w:tcPr>
          <w:p w14:paraId="0C00D36C">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 投标人的投标报价应是本章投标人须知前附表1.3.1项中所述的全部内容的投标报价，如果有任何遗漏，均被视为投标人已经在其投标总价中考虑。</w:t>
            </w:r>
          </w:p>
          <w:p w14:paraId="445BBC39">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投标报价须为人民币报价，包括完成本项目所确定的全部工作内容的包干价。包含：建设费、服务费、数据接口费、调研费、劳务费、安装调试费、质保期内免费升级、税费、培训费、耗材费、加班费、劳动保险费、劳保用品、易耗工具、机械使用费、服务地点内垃圾清运、安全措施费、交通组织费、管理费、政策性文件规定及合同包含的所有风险费，利润、税金等履行完本项目的所有费用，采购人不再追加其他费用。</w:t>
            </w:r>
          </w:p>
        </w:tc>
      </w:tr>
      <w:tr w14:paraId="1577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A8EC2F4">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3.3.1</w:t>
            </w:r>
          </w:p>
        </w:tc>
        <w:tc>
          <w:tcPr>
            <w:tcW w:w="1515" w:type="dxa"/>
            <w:tcBorders>
              <w:top w:val="single" w:color="auto" w:sz="4" w:space="0"/>
              <w:left w:val="single" w:color="auto" w:sz="4" w:space="0"/>
              <w:bottom w:val="single" w:color="auto" w:sz="4" w:space="0"/>
              <w:right w:val="single" w:color="auto" w:sz="4" w:space="0"/>
            </w:tcBorders>
            <w:vAlign w:val="center"/>
          </w:tcPr>
          <w:p w14:paraId="61D9EAC6">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投标有效期</w:t>
            </w:r>
          </w:p>
        </w:tc>
        <w:tc>
          <w:tcPr>
            <w:tcW w:w="6092" w:type="dxa"/>
            <w:tcBorders>
              <w:top w:val="single" w:color="auto" w:sz="4" w:space="0"/>
              <w:left w:val="single" w:color="auto" w:sz="4" w:space="0"/>
              <w:bottom w:val="single" w:color="auto" w:sz="4" w:space="0"/>
              <w:right w:val="single" w:color="auto" w:sz="4" w:space="0"/>
            </w:tcBorders>
            <w:vAlign w:val="center"/>
          </w:tcPr>
          <w:p w14:paraId="0010897F">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90日历天（从递交投标文件截止日起计算）</w:t>
            </w:r>
          </w:p>
        </w:tc>
      </w:tr>
      <w:tr w14:paraId="1330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A1B0A">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3.4.1</w:t>
            </w:r>
          </w:p>
        </w:tc>
        <w:tc>
          <w:tcPr>
            <w:tcW w:w="1515" w:type="dxa"/>
            <w:tcBorders>
              <w:top w:val="single" w:color="auto" w:sz="4" w:space="0"/>
              <w:left w:val="single" w:color="auto" w:sz="4" w:space="0"/>
              <w:bottom w:val="single" w:color="auto" w:sz="4" w:space="0"/>
              <w:right w:val="single" w:color="auto" w:sz="4" w:space="0"/>
            </w:tcBorders>
            <w:vAlign w:val="center"/>
          </w:tcPr>
          <w:p w14:paraId="2FCC0CC5">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投标保证金</w:t>
            </w:r>
          </w:p>
        </w:tc>
        <w:tc>
          <w:tcPr>
            <w:tcW w:w="6092" w:type="dxa"/>
            <w:tcBorders>
              <w:top w:val="single" w:color="auto" w:sz="4" w:space="0"/>
              <w:left w:val="single" w:color="auto" w:sz="4" w:space="0"/>
              <w:bottom w:val="single" w:color="auto" w:sz="4" w:space="0"/>
              <w:right w:val="single" w:color="auto" w:sz="4" w:space="0"/>
            </w:tcBorders>
            <w:vAlign w:val="center"/>
          </w:tcPr>
          <w:p w14:paraId="4A29DA8D">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见招标公告</w:t>
            </w:r>
          </w:p>
        </w:tc>
      </w:tr>
      <w:tr w14:paraId="07E2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B0683D9">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3.5.1</w:t>
            </w:r>
          </w:p>
        </w:tc>
        <w:tc>
          <w:tcPr>
            <w:tcW w:w="1515" w:type="dxa"/>
            <w:tcBorders>
              <w:top w:val="single" w:color="auto" w:sz="4" w:space="0"/>
              <w:left w:val="single" w:color="auto" w:sz="4" w:space="0"/>
              <w:bottom w:val="single" w:color="auto" w:sz="4" w:space="0"/>
              <w:right w:val="single" w:color="auto" w:sz="4" w:space="0"/>
            </w:tcBorders>
            <w:vAlign w:val="center"/>
          </w:tcPr>
          <w:p w14:paraId="03FCE77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资格审查资料</w:t>
            </w:r>
          </w:p>
        </w:tc>
        <w:tc>
          <w:tcPr>
            <w:tcW w:w="6092" w:type="dxa"/>
            <w:tcBorders>
              <w:top w:val="single" w:color="auto" w:sz="4" w:space="0"/>
              <w:left w:val="single" w:color="auto" w:sz="4" w:space="0"/>
              <w:bottom w:val="single" w:color="auto" w:sz="4" w:space="0"/>
              <w:right w:val="single" w:color="auto" w:sz="4" w:space="0"/>
            </w:tcBorders>
            <w:vAlign w:val="center"/>
          </w:tcPr>
          <w:p w14:paraId="184771BB">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本须知前附表1.4.1条要求的相关资料复印件（需要加盖公章）即为审查内容；</w:t>
            </w:r>
          </w:p>
        </w:tc>
      </w:tr>
      <w:tr w14:paraId="7018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2CE17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3.6</w:t>
            </w:r>
          </w:p>
        </w:tc>
        <w:tc>
          <w:tcPr>
            <w:tcW w:w="1515" w:type="dxa"/>
            <w:tcBorders>
              <w:top w:val="single" w:color="auto" w:sz="4" w:space="0"/>
              <w:left w:val="single" w:color="auto" w:sz="4" w:space="0"/>
              <w:bottom w:val="single" w:color="auto" w:sz="4" w:space="0"/>
              <w:right w:val="single" w:color="auto" w:sz="4" w:space="0"/>
            </w:tcBorders>
            <w:vAlign w:val="center"/>
          </w:tcPr>
          <w:p w14:paraId="68D13C0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是否允许递交备选投标人案</w:t>
            </w:r>
          </w:p>
        </w:tc>
        <w:tc>
          <w:tcPr>
            <w:tcW w:w="6092" w:type="dxa"/>
            <w:tcBorders>
              <w:top w:val="single" w:color="auto" w:sz="4" w:space="0"/>
              <w:left w:val="single" w:color="auto" w:sz="4" w:space="0"/>
              <w:bottom w:val="single" w:color="auto" w:sz="4" w:space="0"/>
              <w:right w:val="single" w:color="auto" w:sz="4" w:space="0"/>
            </w:tcBorders>
            <w:vAlign w:val="center"/>
          </w:tcPr>
          <w:p w14:paraId="3DF80D04">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不允许</w:t>
            </w:r>
          </w:p>
        </w:tc>
      </w:tr>
      <w:tr w14:paraId="7DAA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9DE112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3.7.3</w:t>
            </w:r>
          </w:p>
        </w:tc>
        <w:tc>
          <w:tcPr>
            <w:tcW w:w="1515" w:type="dxa"/>
            <w:tcBorders>
              <w:top w:val="single" w:color="auto" w:sz="4" w:space="0"/>
              <w:left w:val="single" w:color="auto" w:sz="4" w:space="0"/>
              <w:bottom w:val="single" w:color="auto" w:sz="4" w:space="0"/>
              <w:right w:val="single" w:color="auto" w:sz="4" w:space="0"/>
            </w:tcBorders>
            <w:vAlign w:val="center"/>
          </w:tcPr>
          <w:p w14:paraId="0743D82A">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签字盖章要求</w:t>
            </w:r>
          </w:p>
        </w:tc>
        <w:tc>
          <w:tcPr>
            <w:tcW w:w="6092" w:type="dxa"/>
            <w:tcBorders>
              <w:top w:val="single" w:color="auto" w:sz="4" w:space="0"/>
              <w:left w:val="single" w:color="auto" w:sz="4" w:space="0"/>
              <w:bottom w:val="single" w:color="auto" w:sz="4" w:space="0"/>
              <w:right w:val="single" w:color="auto" w:sz="4" w:space="0"/>
            </w:tcBorders>
            <w:vAlign w:val="center"/>
          </w:tcPr>
          <w:p w14:paraId="50C86713">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1.投标文件格式上要求签字盖章的地方，必须签字盖章；</w:t>
            </w:r>
          </w:p>
          <w:p w14:paraId="33271700">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2.所有涉及投标报价、承诺、保证等内容必须签字盖章。</w:t>
            </w:r>
          </w:p>
        </w:tc>
      </w:tr>
      <w:tr w14:paraId="61E1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280F2E6">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3.7.4</w:t>
            </w:r>
          </w:p>
        </w:tc>
        <w:tc>
          <w:tcPr>
            <w:tcW w:w="1515" w:type="dxa"/>
            <w:tcBorders>
              <w:top w:val="single" w:color="auto" w:sz="4" w:space="0"/>
              <w:left w:val="single" w:color="auto" w:sz="4" w:space="0"/>
              <w:bottom w:val="single" w:color="auto" w:sz="4" w:space="0"/>
              <w:right w:val="single" w:color="auto" w:sz="4" w:space="0"/>
            </w:tcBorders>
            <w:vAlign w:val="center"/>
          </w:tcPr>
          <w:p w14:paraId="27F30E24">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投标文件份数</w:t>
            </w:r>
          </w:p>
        </w:tc>
        <w:tc>
          <w:tcPr>
            <w:tcW w:w="6092" w:type="dxa"/>
            <w:tcBorders>
              <w:top w:val="single" w:color="auto" w:sz="4" w:space="0"/>
              <w:left w:val="single" w:color="auto" w:sz="4" w:space="0"/>
              <w:bottom w:val="single" w:color="auto" w:sz="4" w:space="0"/>
              <w:right w:val="single" w:color="auto" w:sz="4" w:space="0"/>
            </w:tcBorders>
            <w:vAlign w:val="center"/>
          </w:tcPr>
          <w:p w14:paraId="3272317B">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正本1份、副本2份</w:t>
            </w:r>
          </w:p>
        </w:tc>
      </w:tr>
      <w:tr w14:paraId="685B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FF88A6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3.7.5</w:t>
            </w:r>
          </w:p>
        </w:tc>
        <w:tc>
          <w:tcPr>
            <w:tcW w:w="1515" w:type="dxa"/>
            <w:tcBorders>
              <w:top w:val="single" w:color="auto" w:sz="4" w:space="0"/>
              <w:left w:val="single" w:color="auto" w:sz="4" w:space="0"/>
              <w:bottom w:val="single" w:color="auto" w:sz="4" w:space="0"/>
              <w:right w:val="single" w:color="auto" w:sz="4" w:space="0"/>
            </w:tcBorders>
            <w:vAlign w:val="center"/>
          </w:tcPr>
          <w:p w14:paraId="4CE248B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装订要求</w:t>
            </w:r>
          </w:p>
        </w:tc>
        <w:tc>
          <w:tcPr>
            <w:tcW w:w="6092" w:type="dxa"/>
            <w:tcBorders>
              <w:top w:val="single" w:color="auto" w:sz="4" w:space="0"/>
              <w:left w:val="single" w:color="auto" w:sz="4" w:space="0"/>
              <w:bottom w:val="single" w:color="auto" w:sz="4" w:space="0"/>
              <w:right w:val="single" w:color="auto" w:sz="4" w:space="0"/>
            </w:tcBorders>
            <w:vAlign w:val="center"/>
          </w:tcPr>
          <w:p w14:paraId="200C7045">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1.投标函</w:t>
            </w:r>
          </w:p>
          <w:p w14:paraId="183BCE1A">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2.法定代表人身份证明及授权委托书</w:t>
            </w:r>
          </w:p>
          <w:p w14:paraId="495E766A">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3.投标人基本情况表</w:t>
            </w:r>
          </w:p>
          <w:p w14:paraId="47F19879">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w:t>
            </w:r>
            <w:r>
              <w:rPr>
                <w:rFonts w:hint="eastAsia" w:ascii="Times New Roman" w:hAnsi="Times New Roman" w:eastAsia="方正仿宋_GBK" w:cs="Times New Roman"/>
                <w:color w:val="auto"/>
                <w:sz w:val="28"/>
                <w:szCs w:val="28"/>
                <w:highlight w:val="none"/>
              </w:rPr>
              <w:t>响应文件</w:t>
            </w:r>
          </w:p>
          <w:p w14:paraId="1A733D3D">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5.相关资质证明及承诺</w:t>
            </w:r>
          </w:p>
          <w:p w14:paraId="52011A7C">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6.</w:t>
            </w:r>
            <w:r>
              <w:rPr>
                <w:rFonts w:hint="eastAsia" w:ascii="Times New Roman" w:hAnsi="Times New Roman" w:eastAsia="方正仿宋_GBK" w:cs="Times New Roman"/>
                <w:color w:val="auto"/>
                <w:sz w:val="28"/>
                <w:szCs w:val="28"/>
                <w:highlight w:val="none"/>
                <w:lang w:val="en-US" w:eastAsia="zh-CN"/>
              </w:rPr>
              <w:t>培训方案及</w:t>
            </w:r>
            <w:r>
              <w:rPr>
                <w:rFonts w:ascii="Times New Roman" w:hAnsi="Times New Roman" w:eastAsia="方正仿宋_GBK" w:cs="Times New Roman"/>
                <w:color w:val="auto"/>
                <w:sz w:val="28"/>
                <w:szCs w:val="28"/>
                <w:highlight w:val="none"/>
              </w:rPr>
              <w:t>售后服务</w:t>
            </w:r>
          </w:p>
          <w:p w14:paraId="0F61F246">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7.投标业绩一览表</w:t>
            </w:r>
          </w:p>
          <w:p w14:paraId="3B981822">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8.近</w:t>
            </w:r>
            <w:r>
              <w:rPr>
                <w:rFonts w:hint="eastAsia" w:ascii="Times New Roman" w:hAnsi="Times New Roman" w:eastAsia="方正仿宋_GBK" w:cs="Times New Roman"/>
                <w:color w:val="auto"/>
                <w:sz w:val="28"/>
                <w:szCs w:val="28"/>
                <w:highlight w:val="none"/>
              </w:rPr>
              <w:t>三</w:t>
            </w:r>
            <w:r>
              <w:rPr>
                <w:rFonts w:ascii="Times New Roman" w:hAnsi="Times New Roman" w:eastAsia="方正仿宋_GBK" w:cs="Times New Roman"/>
                <w:color w:val="auto"/>
                <w:sz w:val="28"/>
                <w:szCs w:val="28"/>
                <w:highlight w:val="none"/>
              </w:rPr>
              <w:t>年财务报表（包括资产负债表、利润表和现金流量表）</w:t>
            </w:r>
          </w:p>
          <w:p w14:paraId="53C253DE">
            <w:pPr>
              <w:spacing w:line="400" w:lineRule="exact"/>
              <w:jc w:val="lef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9.</w:t>
            </w:r>
            <w:r>
              <w:rPr>
                <w:rFonts w:ascii="Times New Roman" w:hAnsi="Times New Roman" w:eastAsia="方正仿宋_GBK" w:cs="Times New Roman"/>
                <w:color w:val="auto"/>
                <w:sz w:val="28"/>
                <w:szCs w:val="28"/>
                <w:highlight w:val="none"/>
              </w:rPr>
              <w:t>近</w:t>
            </w:r>
            <w:r>
              <w:rPr>
                <w:rFonts w:hint="eastAsia" w:ascii="Times New Roman" w:hAnsi="Times New Roman" w:eastAsia="方正仿宋_GBK" w:cs="Times New Roman"/>
                <w:color w:val="auto"/>
                <w:sz w:val="28"/>
                <w:szCs w:val="28"/>
                <w:highlight w:val="none"/>
              </w:rPr>
              <w:t>三</w:t>
            </w:r>
            <w:r>
              <w:rPr>
                <w:rFonts w:ascii="Times New Roman" w:hAnsi="Times New Roman" w:eastAsia="方正仿宋_GBK" w:cs="Times New Roman"/>
                <w:color w:val="auto"/>
                <w:sz w:val="28"/>
                <w:szCs w:val="28"/>
                <w:highlight w:val="none"/>
              </w:rPr>
              <w:t>年</w:t>
            </w:r>
            <w:r>
              <w:rPr>
                <w:rFonts w:hint="eastAsia" w:ascii="Times New Roman" w:hAnsi="Times New Roman" w:eastAsia="方正仿宋_GBK" w:cs="Times New Roman"/>
                <w:color w:val="auto"/>
                <w:sz w:val="28"/>
                <w:szCs w:val="28"/>
                <w:highlight w:val="none"/>
                <w:lang w:val="en-US" w:eastAsia="zh-CN"/>
              </w:rPr>
              <w:t>纳税、社保证明</w:t>
            </w:r>
          </w:p>
          <w:p w14:paraId="33B89B36">
            <w:pPr>
              <w:spacing w:line="400" w:lineRule="exact"/>
              <w:jc w:val="lef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10.</w:t>
            </w:r>
            <w:r>
              <w:rPr>
                <w:rFonts w:ascii="Times New Roman" w:hAnsi="Times New Roman" w:eastAsia="方正仿宋_GBK" w:cs="Times New Roman"/>
                <w:color w:val="auto"/>
                <w:sz w:val="28"/>
                <w:szCs w:val="28"/>
                <w:highlight w:val="none"/>
              </w:rPr>
              <w:t>近</w:t>
            </w:r>
            <w:r>
              <w:rPr>
                <w:rFonts w:hint="eastAsia" w:ascii="Times New Roman" w:hAnsi="Times New Roman" w:eastAsia="方正仿宋_GBK" w:cs="Times New Roman"/>
                <w:color w:val="auto"/>
                <w:sz w:val="28"/>
                <w:szCs w:val="28"/>
                <w:highlight w:val="none"/>
              </w:rPr>
              <w:t>三</w:t>
            </w:r>
            <w:r>
              <w:rPr>
                <w:rFonts w:ascii="Times New Roman" w:hAnsi="Times New Roman" w:eastAsia="方正仿宋_GBK" w:cs="Times New Roman"/>
                <w:color w:val="auto"/>
                <w:sz w:val="28"/>
                <w:szCs w:val="28"/>
                <w:highlight w:val="none"/>
              </w:rPr>
              <w:t>年</w:t>
            </w:r>
            <w:r>
              <w:rPr>
                <w:rFonts w:hint="eastAsia" w:ascii="Times New Roman" w:hAnsi="Times New Roman" w:eastAsia="方正仿宋_GBK" w:cs="Times New Roman"/>
                <w:color w:val="auto"/>
                <w:sz w:val="28"/>
                <w:szCs w:val="28"/>
                <w:highlight w:val="none"/>
                <w:lang w:val="en-US" w:eastAsia="zh-CN"/>
              </w:rPr>
              <w:t>官网诚信证明截图</w:t>
            </w:r>
          </w:p>
          <w:p w14:paraId="54E2ACBD">
            <w:pPr>
              <w:spacing w:line="400" w:lineRule="exact"/>
              <w:jc w:val="lef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11</w:t>
            </w:r>
            <w:r>
              <w:rPr>
                <w:rFonts w:ascii="Times New Roman" w:hAnsi="Times New Roman" w:eastAsia="方正仿宋_GBK" w:cs="Times New Roman"/>
                <w:color w:val="auto"/>
                <w:sz w:val="28"/>
                <w:szCs w:val="28"/>
                <w:highlight w:val="none"/>
              </w:rPr>
              <w:t>.承诺函</w:t>
            </w:r>
          </w:p>
          <w:p w14:paraId="1709A714">
            <w:pPr>
              <w:spacing w:line="400" w:lineRule="exact"/>
              <w:jc w:val="lef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12.投标文件PDF格式的电子档U盘一份</w:t>
            </w:r>
          </w:p>
        </w:tc>
      </w:tr>
      <w:tr w14:paraId="6690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6167D74">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4.1.1</w:t>
            </w:r>
          </w:p>
        </w:tc>
        <w:tc>
          <w:tcPr>
            <w:tcW w:w="1515" w:type="dxa"/>
            <w:tcBorders>
              <w:top w:val="single" w:color="auto" w:sz="4" w:space="0"/>
              <w:left w:val="single" w:color="auto" w:sz="4" w:space="0"/>
              <w:bottom w:val="single" w:color="auto" w:sz="4" w:space="0"/>
              <w:right w:val="single" w:color="auto" w:sz="4" w:space="0"/>
            </w:tcBorders>
            <w:vAlign w:val="center"/>
          </w:tcPr>
          <w:p w14:paraId="77D7923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投标文件的密封</w:t>
            </w:r>
          </w:p>
        </w:tc>
        <w:tc>
          <w:tcPr>
            <w:tcW w:w="6092" w:type="dxa"/>
            <w:tcBorders>
              <w:top w:val="single" w:color="auto" w:sz="4" w:space="0"/>
              <w:left w:val="single" w:color="auto" w:sz="4" w:space="0"/>
              <w:bottom w:val="single" w:color="auto" w:sz="4" w:space="0"/>
              <w:right w:val="single" w:color="auto" w:sz="4" w:space="0"/>
            </w:tcBorders>
            <w:vAlign w:val="center"/>
          </w:tcPr>
          <w:p w14:paraId="24126330">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1.使用投标文件袋</w:t>
            </w:r>
          </w:p>
          <w:p w14:paraId="7073FC48">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2.密封并在投标文件袋处加盖投标人单位章，同时投标文件大袋应按本表第4.1.2项的规定写明相应内容。</w:t>
            </w:r>
          </w:p>
          <w:p w14:paraId="2CA239D0">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3.如果投标文件大袋未按上述规定封装，招标人拒绝接收。</w:t>
            </w:r>
          </w:p>
        </w:tc>
      </w:tr>
      <w:tr w14:paraId="45BC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6EA6E81">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4.1.2</w:t>
            </w:r>
          </w:p>
        </w:tc>
        <w:tc>
          <w:tcPr>
            <w:tcW w:w="1515" w:type="dxa"/>
            <w:tcBorders>
              <w:top w:val="single" w:color="auto" w:sz="4" w:space="0"/>
              <w:left w:val="single" w:color="auto" w:sz="4" w:space="0"/>
              <w:bottom w:val="single" w:color="auto" w:sz="4" w:space="0"/>
              <w:right w:val="single" w:color="auto" w:sz="4" w:space="0"/>
            </w:tcBorders>
            <w:vAlign w:val="center"/>
          </w:tcPr>
          <w:p w14:paraId="7A9E41EC">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封套上写明</w:t>
            </w:r>
          </w:p>
        </w:tc>
        <w:tc>
          <w:tcPr>
            <w:tcW w:w="6092" w:type="dxa"/>
            <w:tcBorders>
              <w:top w:val="single" w:color="auto" w:sz="4" w:space="0"/>
              <w:left w:val="single" w:color="auto" w:sz="4" w:space="0"/>
              <w:bottom w:val="single" w:color="auto" w:sz="4" w:space="0"/>
              <w:right w:val="single" w:color="auto" w:sz="4" w:space="0"/>
            </w:tcBorders>
            <w:vAlign w:val="center"/>
          </w:tcPr>
          <w:p w14:paraId="2453ECA1">
            <w:pPr>
              <w:spacing w:line="400" w:lineRule="exact"/>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项目名称：</w:t>
            </w:r>
            <w:r>
              <w:rPr>
                <w:rFonts w:hint="eastAsia" w:ascii="Times New Roman" w:hAnsi="Times New Roman" w:eastAsia="方正仿宋_GBK" w:cs="Times New Roman"/>
                <w:color w:val="auto"/>
                <w:sz w:val="28"/>
                <w:szCs w:val="28"/>
                <w:highlight w:val="none"/>
              </w:rPr>
              <w:t>重庆财经学院</w:t>
            </w:r>
            <w:r>
              <w:rPr>
                <w:rFonts w:hint="eastAsia" w:ascii="Times New Roman" w:hAnsi="Times New Roman" w:eastAsia="方正仿宋_GBK" w:cs="Times New Roman"/>
                <w:color w:val="auto"/>
                <w:sz w:val="28"/>
                <w:szCs w:val="28"/>
                <w:highlight w:val="none"/>
                <w:lang w:eastAsia="zh-CN"/>
              </w:rPr>
              <w:t>大数据审计分析教学平台采购</w:t>
            </w:r>
            <w:r>
              <w:rPr>
                <w:rFonts w:hint="eastAsia" w:ascii="Times New Roman" w:hAnsi="Times New Roman" w:eastAsia="方正仿宋_GBK" w:cs="Times New Roman"/>
                <w:color w:val="auto"/>
                <w:sz w:val="28"/>
                <w:szCs w:val="28"/>
                <w:highlight w:val="none"/>
              </w:rPr>
              <w:t>项目</w:t>
            </w:r>
          </w:p>
          <w:p w14:paraId="42A99390">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投标人名称：</w:t>
            </w:r>
            <w:r>
              <w:rPr>
                <w:rFonts w:ascii="Times New Roman" w:hAnsi="Times New Roman" w:eastAsia="方正仿宋_GBK" w:cs="Times New Roman"/>
                <w:color w:val="auto"/>
                <w:sz w:val="28"/>
                <w:szCs w:val="28"/>
                <w:highlight w:val="none"/>
                <w:u w:val="single"/>
              </w:rPr>
              <w:t xml:space="preserve">             </w:t>
            </w:r>
            <w:r>
              <w:rPr>
                <w:rFonts w:ascii="Times New Roman" w:hAnsi="Times New Roman" w:eastAsia="方正仿宋_GBK" w:cs="Times New Roman"/>
                <w:color w:val="auto"/>
                <w:sz w:val="28"/>
                <w:szCs w:val="28"/>
                <w:highlight w:val="none"/>
              </w:rPr>
              <w:t>（投标人盖章）</w:t>
            </w:r>
          </w:p>
          <w:p w14:paraId="7E8EC231">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 xml:space="preserve">投标文件 在开标前不得开启 </w:t>
            </w:r>
          </w:p>
        </w:tc>
      </w:tr>
      <w:tr w14:paraId="29DE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5" w:type="dxa"/>
            <w:tcBorders>
              <w:top w:val="single" w:color="auto" w:sz="4" w:space="0"/>
              <w:left w:val="single" w:color="auto" w:sz="4" w:space="0"/>
              <w:bottom w:val="single" w:color="auto" w:sz="4" w:space="0"/>
              <w:right w:val="single" w:color="auto" w:sz="4" w:space="0"/>
            </w:tcBorders>
            <w:vAlign w:val="center"/>
          </w:tcPr>
          <w:p w14:paraId="76DA0D3B">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4.2.1</w:t>
            </w:r>
          </w:p>
        </w:tc>
        <w:tc>
          <w:tcPr>
            <w:tcW w:w="1515" w:type="dxa"/>
            <w:tcBorders>
              <w:top w:val="single" w:color="auto" w:sz="4" w:space="0"/>
              <w:left w:val="single" w:color="auto" w:sz="4" w:space="0"/>
              <w:bottom w:val="single" w:color="auto" w:sz="4" w:space="0"/>
              <w:right w:val="single" w:color="auto" w:sz="4" w:space="0"/>
            </w:tcBorders>
            <w:vAlign w:val="center"/>
          </w:tcPr>
          <w:p w14:paraId="263A79EF">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投标截止时间</w:t>
            </w:r>
          </w:p>
        </w:tc>
        <w:tc>
          <w:tcPr>
            <w:tcW w:w="6092" w:type="dxa"/>
            <w:tcBorders>
              <w:top w:val="single" w:color="auto" w:sz="4" w:space="0"/>
              <w:left w:val="single" w:color="auto" w:sz="4" w:space="0"/>
              <w:bottom w:val="single" w:color="auto" w:sz="4" w:space="0"/>
              <w:right w:val="single" w:color="auto" w:sz="4" w:space="0"/>
            </w:tcBorders>
            <w:vAlign w:val="center"/>
          </w:tcPr>
          <w:p w14:paraId="2C649613">
            <w:pPr>
              <w:spacing w:line="400" w:lineRule="exact"/>
              <w:jc w:val="both"/>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见招标公告</w:t>
            </w:r>
          </w:p>
        </w:tc>
      </w:tr>
      <w:tr w14:paraId="582F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9577958">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4.2.2</w:t>
            </w:r>
          </w:p>
        </w:tc>
        <w:tc>
          <w:tcPr>
            <w:tcW w:w="1515" w:type="dxa"/>
            <w:tcBorders>
              <w:top w:val="single" w:color="auto" w:sz="4" w:space="0"/>
              <w:left w:val="single" w:color="auto" w:sz="4" w:space="0"/>
              <w:bottom w:val="single" w:color="auto" w:sz="4" w:space="0"/>
              <w:right w:val="single" w:color="auto" w:sz="4" w:space="0"/>
            </w:tcBorders>
            <w:vAlign w:val="center"/>
          </w:tcPr>
          <w:p w14:paraId="3BD70FF8">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递交投标文件地点</w:t>
            </w:r>
          </w:p>
        </w:tc>
        <w:tc>
          <w:tcPr>
            <w:tcW w:w="6092" w:type="dxa"/>
            <w:tcBorders>
              <w:top w:val="single" w:color="auto" w:sz="4" w:space="0"/>
              <w:left w:val="single" w:color="auto" w:sz="4" w:space="0"/>
              <w:bottom w:val="single" w:color="auto" w:sz="4" w:space="0"/>
              <w:right w:val="single" w:color="auto" w:sz="4" w:space="0"/>
            </w:tcBorders>
            <w:vAlign w:val="center"/>
          </w:tcPr>
          <w:p w14:paraId="448C5F41">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见投标时间截止公告</w:t>
            </w:r>
          </w:p>
        </w:tc>
      </w:tr>
      <w:tr w14:paraId="21F4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2AC14">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4.2.3</w:t>
            </w:r>
          </w:p>
        </w:tc>
        <w:tc>
          <w:tcPr>
            <w:tcW w:w="1515" w:type="dxa"/>
            <w:tcBorders>
              <w:top w:val="single" w:color="auto" w:sz="4" w:space="0"/>
              <w:left w:val="single" w:color="auto" w:sz="4" w:space="0"/>
              <w:bottom w:val="single" w:color="auto" w:sz="4" w:space="0"/>
              <w:right w:val="single" w:color="auto" w:sz="4" w:space="0"/>
            </w:tcBorders>
            <w:vAlign w:val="center"/>
          </w:tcPr>
          <w:p w14:paraId="12A0463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是否退还投标文件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29B1B838">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w:t>
            </w:r>
          </w:p>
        </w:tc>
      </w:tr>
      <w:tr w14:paraId="5086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EBAA4C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5</w:t>
            </w:r>
          </w:p>
        </w:tc>
        <w:tc>
          <w:tcPr>
            <w:tcW w:w="1515" w:type="dxa"/>
            <w:tcBorders>
              <w:top w:val="single" w:color="auto" w:sz="4" w:space="0"/>
              <w:left w:val="single" w:color="auto" w:sz="4" w:space="0"/>
              <w:bottom w:val="single" w:color="auto" w:sz="4" w:space="0"/>
              <w:right w:val="single" w:color="auto" w:sz="4" w:space="0"/>
            </w:tcBorders>
            <w:vAlign w:val="center"/>
          </w:tcPr>
          <w:p w14:paraId="69503C4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开标会</w:t>
            </w:r>
          </w:p>
        </w:tc>
        <w:tc>
          <w:tcPr>
            <w:tcW w:w="6092" w:type="dxa"/>
            <w:tcBorders>
              <w:top w:val="single" w:color="auto" w:sz="4" w:space="0"/>
              <w:left w:val="single" w:color="auto" w:sz="4" w:space="0"/>
              <w:bottom w:val="single" w:color="auto" w:sz="4" w:space="0"/>
              <w:right w:val="single" w:color="auto" w:sz="4" w:space="0"/>
            </w:tcBorders>
            <w:vAlign w:val="center"/>
          </w:tcPr>
          <w:p w14:paraId="4626909E">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开标会由重庆财经学院招</w:t>
            </w:r>
            <w:r>
              <w:rPr>
                <w:rFonts w:hint="eastAsia" w:ascii="Times New Roman" w:hAnsi="Times New Roman" w:eastAsia="方正仿宋_GBK" w:cs="Times New Roman"/>
                <w:color w:val="auto"/>
                <w:sz w:val="28"/>
                <w:szCs w:val="28"/>
                <w:highlight w:val="none"/>
                <w:lang w:val="en-US" w:eastAsia="zh-CN"/>
              </w:rPr>
              <w:t>采</w:t>
            </w:r>
            <w:r>
              <w:rPr>
                <w:rFonts w:ascii="Times New Roman" w:hAnsi="Times New Roman" w:eastAsia="方正仿宋_GBK" w:cs="Times New Roman"/>
                <w:color w:val="auto"/>
                <w:sz w:val="28"/>
                <w:szCs w:val="28"/>
                <w:highlight w:val="none"/>
              </w:rPr>
              <w:t>办公室主持</w:t>
            </w:r>
          </w:p>
        </w:tc>
      </w:tr>
      <w:tr w14:paraId="5030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AB11EC">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5.1</w:t>
            </w:r>
          </w:p>
        </w:tc>
        <w:tc>
          <w:tcPr>
            <w:tcW w:w="1515" w:type="dxa"/>
            <w:tcBorders>
              <w:top w:val="single" w:color="auto" w:sz="4" w:space="0"/>
              <w:left w:val="single" w:color="auto" w:sz="4" w:space="0"/>
              <w:bottom w:val="single" w:color="auto" w:sz="4" w:space="0"/>
              <w:right w:val="single" w:color="auto" w:sz="4" w:space="0"/>
            </w:tcBorders>
            <w:vAlign w:val="center"/>
          </w:tcPr>
          <w:p w14:paraId="57DB70A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开标时间和地点</w:t>
            </w:r>
          </w:p>
        </w:tc>
        <w:tc>
          <w:tcPr>
            <w:tcW w:w="6092" w:type="dxa"/>
            <w:tcBorders>
              <w:top w:val="single" w:color="auto" w:sz="4" w:space="0"/>
              <w:left w:val="single" w:color="auto" w:sz="4" w:space="0"/>
              <w:bottom w:val="single" w:color="auto" w:sz="4" w:space="0"/>
              <w:right w:val="single" w:color="auto" w:sz="4" w:space="0"/>
            </w:tcBorders>
            <w:vAlign w:val="center"/>
          </w:tcPr>
          <w:p w14:paraId="187CF841">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开标时间：开标时间</w:t>
            </w:r>
            <w:r>
              <w:rPr>
                <w:rFonts w:hint="eastAsia" w:ascii="Times New Roman" w:hAnsi="Times New Roman" w:eastAsia="方正仿宋_GBK" w:cs="Times New Roman"/>
                <w:color w:val="auto"/>
                <w:sz w:val="28"/>
                <w:szCs w:val="28"/>
                <w:highlight w:val="none"/>
                <w:lang w:val="en-US" w:eastAsia="zh-CN"/>
              </w:rPr>
              <w:t>另行</w:t>
            </w:r>
            <w:r>
              <w:rPr>
                <w:rFonts w:hint="eastAsia" w:ascii="Times New Roman" w:hAnsi="Times New Roman" w:eastAsia="方正仿宋_GBK" w:cs="Times New Roman"/>
                <w:color w:val="auto"/>
                <w:sz w:val="28"/>
                <w:szCs w:val="28"/>
                <w:highlight w:val="none"/>
              </w:rPr>
              <w:t>通知。</w:t>
            </w:r>
          </w:p>
          <w:p w14:paraId="0D4CA3B1">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开标地点：重庆财经学院</w:t>
            </w:r>
          </w:p>
        </w:tc>
      </w:tr>
      <w:tr w14:paraId="4C57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EF0021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6</w:t>
            </w:r>
          </w:p>
        </w:tc>
        <w:tc>
          <w:tcPr>
            <w:tcW w:w="1515" w:type="dxa"/>
            <w:tcBorders>
              <w:top w:val="single" w:color="auto" w:sz="4" w:space="0"/>
              <w:left w:val="single" w:color="auto" w:sz="4" w:space="0"/>
              <w:bottom w:val="single" w:color="auto" w:sz="4" w:space="0"/>
              <w:right w:val="single" w:color="auto" w:sz="4" w:space="0"/>
            </w:tcBorders>
            <w:vAlign w:val="center"/>
          </w:tcPr>
          <w:p w14:paraId="088E1909">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评标</w:t>
            </w:r>
          </w:p>
        </w:tc>
        <w:tc>
          <w:tcPr>
            <w:tcW w:w="6092" w:type="dxa"/>
            <w:tcBorders>
              <w:top w:val="single" w:color="auto" w:sz="4" w:space="0"/>
              <w:left w:val="single" w:color="auto" w:sz="4" w:space="0"/>
              <w:bottom w:val="single" w:color="auto" w:sz="4" w:space="0"/>
              <w:right w:val="single" w:color="auto" w:sz="4" w:space="0"/>
            </w:tcBorders>
            <w:vAlign w:val="center"/>
          </w:tcPr>
          <w:p w14:paraId="4E63238B">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本项目评标委员会按照本次招标文件要求进行评标</w:t>
            </w:r>
          </w:p>
        </w:tc>
      </w:tr>
      <w:tr w14:paraId="7452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0AEFC3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6.1</w:t>
            </w:r>
          </w:p>
        </w:tc>
        <w:tc>
          <w:tcPr>
            <w:tcW w:w="1515" w:type="dxa"/>
            <w:tcBorders>
              <w:top w:val="single" w:color="auto" w:sz="4" w:space="0"/>
              <w:left w:val="single" w:color="auto" w:sz="4" w:space="0"/>
              <w:bottom w:val="single" w:color="auto" w:sz="4" w:space="0"/>
              <w:right w:val="single" w:color="auto" w:sz="4" w:space="0"/>
            </w:tcBorders>
            <w:vAlign w:val="center"/>
          </w:tcPr>
          <w:p w14:paraId="640EA13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评标委员会的组建</w:t>
            </w:r>
          </w:p>
        </w:tc>
        <w:tc>
          <w:tcPr>
            <w:tcW w:w="6092" w:type="dxa"/>
            <w:tcBorders>
              <w:top w:val="single" w:color="auto" w:sz="4" w:space="0"/>
              <w:left w:val="single" w:color="auto" w:sz="4" w:space="0"/>
              <w:bottom w:val="single" w:color="auto" w:sz="4" w:space="0"/>
              <w:right w:val="single" w:color="auto" w:sz="4" w:space="0"/>
            </w:tcBorders>
            <w:vAlign w:val="center"/>
          </w:tcPr>
          <w:p w14:paraId="204AE57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由招标人根据重庆财经学院</w:t>
            </w:r>
            <w:r>
              <w:rPr>
                <w:rFonts w:hint="eastAsia" w:ascii="Times New Roman" w:hAnsi="Times New Roman" w:eastAsia="方正仿宋_GBK" w:cs="Times New Roman"/>
                <w:color w:val="auto"/>
                <w:sz w:val="28"/>
                <w:szCs w:val="28"/>
                <w:highlight w:val="none"/>
                <w:lang w:val="en-US" w:eastAsia="zh-CN"/>
              </w:rPr>
              <w:t>招采</w:t>
            </w:r>
            <w:r>
              <w:rPr>
                <w:rFonts w:ascii="Times New Roman" w:hAnsi="Times New Roman" w:eastAsia="方正仿宋_GBK" w:cs="Times New Roman"/>
                <w:color w:val="auto"/>
                <w:sz w:val="28"/>
                <w:szCs w:val="28"/>
                <w:highlight w:val="none"/>
              </w:rPr>
              <w:t>管理办法组建</w:t>
            </w:r>
          </w:p>
        </w:tc>
      </w:tr>
      <w:tr w14:paraId="64E5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519879B">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7.1</w:t>
            </w:r>
          </w:p>
        </w:tc>
        <w:tc>
          <w:tcPr>
            <w:tcW w:w="1515" w:type="dxa"/>
            <w:tcBorders>
              <w:top w:val="single" w:color="auto" w:sz="4" w:space="0"/>
              <w:left w:val="single" w:color="auto" w:sz="4" w:space="0"/>
              <w:bottom w:val="single" w:color="auto" w:sz="4" w:space="0"/>
              <w:right w:val="single" w:color="auto" w:sz="4" w:space="0"/>
            </w:tcBorders>
            <w:vAlign w:val="center"/>
          </w:tcPr>
          <w:p w14:paraId="5F74194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是否授权评标委员会确定中标人</w:t>
            </w:r>
          </w:p>
        </w:tc>
        <w:tc>
          <w:tcPr>
            <w:tcW w:w="6092" w:type="dxa"/>
            <w:tcBorders>
              <w:top w:val="single" w:color="auto" w:sz="4" w:space="0"/>
              <w:left w:val="single" w:color="auto" w:sz="4" w:space="0"/>
              <w:bottom w:val="single" w:color="auto" w:sz="4" w:space="0"/>
              <w:right w:val="single" w:color="auto" w:sz="4" w:space="0"/>
            </w:tcBorders>
            <w:vAlign w:val="center"/>
          </w:tcPr>
          <w:p w14:paraId="03FB9091">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否，评标委员会按照由高到低的顺序依次推荐1～3名为中标候选人。</w:t>
            </w:r>
          </w:p>
        </w:tc>
      </w:tr>
      <w:tr w14:paraId="4E4C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ED91786">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8.1</w:t>
            </w:r>
          </w:p>
        </w:tc>
        <w:tc>
          <w:tcPr>
            <w:tcW w:w="1515" w:type="dxa"/>
            <w:tcBorders>
              <w:top w:val="single" w:color="auto" w:sz="4" w:space="0"/>
              <w:left w:val="single" w:color="auto" w:sz="4" w:space="0"/>
              <w:bottom w:val="single" w:color="auto" w:sz="4" w:space="0"/>
              <w:right w:val="single" w:color="auto" w:sz="4" w:space="0"/>
            </w:tcBorders>
            <w:vAlign w:val="center"/>
          </w:tcPr>
          <w:p w14:paraId="496867F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重新招标</w:t>
            </w:r>
          </w:p>
        </w:tc>
        <w:tc>
          <w:tcPr>
            <w:tcW w:w="6092" w:type="dxa"/>
            <w:tcBorders>
              <w:top w:val="single" w:color="auto" w:sz="4" w:space="0"/>
              <w:left w:val="single" w:color="auto" w:sz="4" w:space="0"/>
              <w:bottom w:val="single" w:color="auto" w:sz="4" w:space="0"/>
              <w:right w:val="single" w:color="auto" w:sz="4" w:space="0"/>
            </w:tcBorders>
            <w:vAlign w:val="center"/>
          </w:tcPr>
          <w:p w14:paraId="4568507B">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（1）按投标人须知第8.1.（2）执行；</w:t>
            </w:r>
          </w:p>
          <w:p w14:paraId="4DE466E9">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按照我校招</w:t>
            </w:r>
            <w:r>
              <w:rPr>
                <w:rFonts w:hint="eastAsia" w:ascii="Times New Roman" w:hAnsi="Times New Roman" w:eastAsia="方正仿宋_GBK" w:cs="Times New Roman"/>
                <w:color w:val="auto"/>
                <w:sz w:val="28"/>
                <w:szCs w:val="28"/>
                <w:highlight w:val="none"/>
                <w:lang w:val="en-US" w:eastAsia="zh-CN"/>
              </w:rPr>
              <w:t>采</w:t>
            </w:r>
            <w:r>
              <w:rPr>
                <w:rFonts w:ascii="Times New Roman" w:hAnsi="Times New Roman" w:eastAsia="方正仿宋_GBK" w:cs="Times New Roman"/>
                <w:color w:val="auto"/>
                <w:sz w:val="28"/>
                <w:szCs w:val="28"/>
                <w:highlight w:val="none"/>
              </w:rPr>
              <w:t>管理办法的相关规定执行。</w:t>
            </w:r>
          </w:p>
        </w:tc>
      </w:tr>
      <w:tr w14:paraId="73C0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242671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9</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7879CD25">
            <w:pPr>
              <w:adjustRightInd w:val="0"/>
              <w:spacing w:line="400" w:lineRule="exact"/>
              <w:ind w:left="480"/>
              <w:jc w:val="center"/>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补充内容</w:t>
            </w:r>
          </w:p>
        </w:tc>
      </w:tr>
      <w:tr w14:paraId="2807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88A7F2C">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9.1</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43D8AEE">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1.投标人收到中标通知</w:t>
            </w:r>
            <w:r>
              <w:rPr>
                <w:rFonts w:hint="eastAsia" w:ascii="Times New Roman" w:hAnsi="Times New Roman" w:eastAsia="方正仿宋_GBK" w:cs="Times New Roman"/>
                <w:color w:val="auto"/>
                <w:sz w:val="28"/>
                <w:szCs w:val="28"/>
                <w:highlight w:val="none"/>
                <w:lang w:val="en-US" w:eastAsia="zh-CN"/>
              </w:rPr>
              <w:t>书</w:t>
            </w:r>
            <w:r>
              <w:rPr>
                <w:rFonts w:ascii="Times New Roman" w:hAnsi="Times New Roman" w:eastAsia="方正仿宋_GBK" w:cs="Times New Roman"/>
                <w:color w:val="auto"/>
                <w:sz w:val="28"/>
                <w:szCs w:val="28"/>
                <w:highlight w:val="none"/>
              </w:rPr>
              <w:t>3天后，</w:t>
            </w:r>
            <w:r>
              <w:rPr>
                <w:rFonts w:hint="eastAsia" w:ascii="Times New Roman" w:hAnsi="Times New Roman" w:eastAsia="方正仿宋_GBK" w:cs="Times New Roman"/>
                <w:b w:val="0"/>
                <w:bCs/>
                <w:color w:val="auto"/>
                <w:sz w:val="28"/>
                <w:szCs w:val="28"/>
                <w:highlight w:val="none"/>
                <w:lang w:val="en-US" w:eastAsia="zh-CN"/>
              </w:rPr>
              <w:t>投标保证金自动转为履约保证金，履约保证金按合同金额的10%收取，多退少补（无息）。</w:t>
            </w:r>
          </w:p>
        </w:tc>
      </w:tr>
      <w:tr w14:paraId="1E6C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D2C93F9">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9.2</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4235A0F5">
            <w:pPr>
              <w:spacing w:line="400" w:lineRule="exact"/>
              <w:jc w:val="left"/>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本项目从签订合同起，中标方应按照招标方的要求将所提供的设备安装到指定地点。若规定时间内中标方未能完成本项目，招标人有权不退还履约保证金并追究中标方的责任。</w:t>
            </w:r>
          </w:p>
        </w:tc>
      </w:tr>
      <w:tr w14:paraId="3A41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65" w:type="dxa"/>
            <w:tcBorders>
              <w:top w:val="single" w:color="auto" w:sz="4" w:space="0"/>
              <w:left w:val="single" w:color="auto" w:sz="4" w:space="0"/>
              <w:bottom w:val="single" w:color="auto" w:sz="4" w:space="0"/>
              <w:right w:val="single" w:color="auto" w:sz="4" w:space="0"/>
            </w:tcBorders>
            <w:vAlign w:val="center"/>
          </w:tcPr>
          <w:p w14:paraId="495930B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9.3</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CA42F3F">
            <w:pPr>
              <w:shd w:val="clear"/>
              <w:adjustRightInd w:val="0"/>
              <w:spacing w:line="400" w:lineRule="exact"/>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付款条件：</w:t>
            </w:r>
            <w:r>
              <w:rPr>
                <w:rFonts w:hint="eastAsia" w:ascii="Times New Roman" w:hAnsi="Times New Roman" w:eastAsia="方正仿宋_GBK" w:cs="Times New Roman"/>
                <w:b w:val="0"/>
                <w:bCs/>
                <w:color w:val="auto"/>
                <w:sz w:val="28"/>
                <w:szCs w:val="28"/>
                <w:highlight w:val="none"/>
                <w:lang w:val="en-US" w:eastAsia="zh-CN"/>
              </w:rPr>
              <w:t>按合同要求所有软件（如有设备）安装、调试、培训完成后，根据付款方式规定的时间节点和验收要求，验收合格并履行完验收手续后，在支付第一笔合同款时，甲方通知乙方开具全额正规税务发票并同时提供汇款单位名称、帐号、开户行等。</w:t>
            </w:r>
          </w:p>
          <w:p w14:paraId="53DBDFD8">
            <w:pPr>
              <w:shd w:val="clear"/>
              <w:adjustRightInd w:val="0"/>
              <w:spacing w:line="400" w:lineRule="exact"/>
              <w:jc w:val="left"/>
              <w:textAlignment w:val="baseline"/>
              <w:rPr>
                <w:rFonts w:ascii="Times New Roman" w:hAnsi="Times New Roman" w:eastAsia="方正仿宋_GBK" w:cs="Times New Roman"/>
                <w:b/>
                <w:bCs w:val="0"/>
                <w:color w:val="auto"/>
                <w:sz w:val="28"/>
                <w:szCs w:val="28"/>
                <w:highlight w:val="none"/>
              </w:rPr>
            </w:pPr>
            <w:r>
              <w:rPr>
                <w:rFonts w:hint="eastAsia" w:ascii="Times New Roman" w:hAnsi="Times New Roman" w:eastAsia="方正仿宋_GBK" w:cs="Times New Roman"/>
                <w:b/>
                <w:bCs w:val="0"/>
                <w:color w:val="auto"/>
                <w:sz w:val="28"/>
                <w:szCs w:val="28"/>
                <w:highlight w:val="none"/>
                <w:lang w:val="en-US" w:eastAsia="zh-CN"/>
              </w:rPr>
              <w:t>付款方式（最终以合同为准）</w:t>
            </w:r>
            <w:r>
              <w:rPr>
                <w:rFonts w:ascii="Times New Roman" w:hAnsi="Times New Roman" w:eastAsia="方正仿宋_GBK" w:cs="Times New Roman"/>
                <w:b/>
                <w:bCs w:val="0"/>
                <w:color w:val="auto"/>
                <w:sz w:val="28"/>
                <w:szCs w:val="28"/>
                <w:highlight w:val="none"/>
              </w:rPr>
              <w:t>：</w:t>
            </w:r>
          </w:p>
          <w:p w14:paraId="3B360D4B">
            <w:pPr>
              <w:shd w:val="clear"/>
              <w:adjustRightInd w:val="0"/>
              <w:spacing w:line="400" w:lineRule="exact"/>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val="0"/>
                <w:bCs/>
                <w:color w:val="auto"/>
                <w:sz w:val="28"/>
                <w:szCs w:val="28"/>
                <w:highlight w:val="none"/>
                <w:lang w:val="en-US" w:eastAsia="zh-CN"/>
              </w:rPr>
              <w:t>1.软件安装调试完毕，试运行1个月后组织初验，若无故障支付60%合同款；</w:t>
            </w:r>
          </w:p>
          <w:p w14:paraId="2DCC71C6">
            <w:pPr>
              <w:shd w:val="clear"/>
              <w:adjustRightInd w:val="0"/>
              <w:spacing w:line="400" w:lineRule="exact"/>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val="0"/>
                <w:bCs/>
                <w:color w:val="auto"/>
                <w:sz w:val="28"/>
                <w:szCs w:val="28"/>
                <w:highlight w:val="none"/>
                <w:lang w:val="en-US" w:eastAsia="zh-CN"/>
              </w:rPr>
              <w:t>2.完成培训内容，软件系统正式运行后一学期内由双方进行最终验收，终验合格后支付35%合同款；</w:t>
            </w:r>
          </w:p>
          <w:p w14:paraId="0FE4002B">
            <w:pPr>
              <w:shd w:val="clear"/>
              <w:adjustRightInd w:val="0"/>
              <w:spacing w:line="400" w:lineRule="exact"/>
              <w:jc w:val="left"/>
              <w:textAlignment w:val="baseline"/>
              <w:rPr>
                <w:rFonts w:ascii="Times New Roman" w:hAnsi="Times New Roman" w:eastAsia="方正仿宋_GBK" w:cs="Times New Roman"/>
                <w:b/>
                <w:color w:val="auto"/>
                <w:sz w:val="28"/>
                <w:szCs w:val="28"/>
                <w:highlight w:val="none"/>
              </w:rPr>
            </w:pPr>
            <w:r>
              <w:rPr>
                <w:rFonts w:hint="eastAsia" w:ascii="Times New Roman" w:hAnsi="Times New Roman" w:eastAsia="方正仿宋_GBK" w:cs="Times New Roman"/>
                <w:b w:val="0"/>
                <w:bCs/>
                <w:color w:val="auto"/>
                <w:sz w:val="28"/>
                <w:szCs w:val="28"/>
                <w:highlight w:val="none"/>
                <w:lang w:val="en-US" w:eastAsia="zh-CN"/>
              </w:rPr>
              <w:t>3.三年质保期满后，支付5%的剩余合同款（无息）。</w:t>
            </w:r>
          </w:p>
        </w:tc>
      </w:tr>
    </w:tbl>
    <w:p w14:paraId="7792B14A">
      <w:pPr>
        <w:rPr>
          <w:rFonts w:ascii="Times New Roman" w:hAnsi="Times New Roman" w:eastAsia="方正楷体_GBK" w:cs="Times New Roman"/>
          <w:b/>
          <w:color w:val="auto"/>
          <w:w w:val="99"/>
          <w:kern w:val="0"/>
          <w:sz w:val="32"/>
          <w:szCs w:val="32"/>
          <w:highlight w:val="none"/>
          <w:lang w:val="zh-CN"/>
        </w:rPr>
      </w:pPr>
      <w:r>
        <w:rPr>
          <w:rFonts w:ascii="Times New Roman" w:hAnsi="Times New Roman" w:eastAsia="方正楷体_GBK" w:cs="Times New Roman"/>
          <w:b/>
          <w:color w:val="auto"/>
          <w:w w:val="99"/>
          <w:kern w:val="0"/>
          <w:sz w:val="32"/>
          <w:szCs w:val="32"/>
          <w:highlight w:val="none"/>
          <w:lang w:val="zh-CN"/>
        </w:rPr>
        <w:br w:type="page"/>
      </w:r>
    </w:p>
    <w:p w14:paraId="51A85AA5">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r>
        <w:rPr>
          <w:rFonts w:ascii="Times New Roman" w:hAnsi="Times New Roman" w:eastAsia="方正楷体_GBK" w:cs="Times New Roman"/>
          <w:b/>
          <w:color w:val="auto"/>
          <w:w w:val="99"/>
          <w:kern w:val="0"/>
          <w:sz w:val="21"/>
          <w:szCs w:val="21"/>
          <w:highlight w:val="none"/>
          <w:lang w:val="zh-CN"/>
        </w:rPr>
        <w:t>1</w:t>
      </w:r>
      <w:r>
        <w:rPr>
          <w:rFonts w:ascii="Times New Roman" w:hAnsi="Times New Roman" w:eastAsia="方正楷体_GBK" w:cs="Times New Roman"/>
          <w:b/>
          <w:color w:val="auto"/>
          <w:w w:val="99"/>
          <w:kern w:val="0"/>
          <w:sz w:val="21"/>
          <w:szCs w:val="21"/>
          <w:highlight w:val="none"/>
        </w:rPr>
        <w:t>.</w:t>
      </w:r>
      <w:r>
        <w:rPr>
          <w:rFonts w:ascii="Times New Roman" w:hAnsi="Times New Roman" w:eastAsia="方正楷体_GBK" w:cs="Times New Roman"/>
          <w:b/>
          <w:color w:val="auto"/>
          <w:w w:val="99"/>
          <w:kern w:val="0"/>
          <w:sz w:val="21"/>
          <w:szCs w:val="21"/>
          <w:highlight w:val="none"/>
          <w:lang w:val="zh-CN"/>
        </w:rPr>
        <w:t>总则</w:t>
      </w:r>
    </w:p>
    <w:p w14:paraId="42AA420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6" w:name="_Toc531594736"/>
      <w:bookmarkStart w:id="7" w:name="_Toc12010"/>
      <w:bookmarkStart w:id="8" w:name="_Toc334774165"/>
      <w:r>
        <w:rPr>
          <w:rFonts w:ascii="Times New Roman" w:hAnsi="Times New Roman" w:eastAsia="方正仿宋_GBK" w:cs="Times New Roman"/>
          <w:b/>
          <w:color w:val="auto"/>
          <w:kern w:val="0"/>
          <w:sz w:val="21"/>
          <w:szCs w:val="21"/>
          <w:highlight w:val="none"/>
        </w:rPr>
        <w:t>1.1 项目概况</w:t>
      </w:r>
      <w:bookmarkEnd w:id="6"/>
      <w:bookmarkEnd w:id="7"/>
      <w:bookmarkEnd w:id="8"/>
    </w:p>
    <w:p w14:paraId="18B421C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1.1.1 根据《中华人民共和国招标投标法》等有关法律、法规和规章的规定，对本项目货物采购及服务进行公开招标。</w:t>
      </w:r>
    </w:p>
    <w:p w14:paraId="5181505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1.1.2 本招标项目名称、项目地点：见投标人需知前附表。</w:t>
      </w:r>
    </w:p>
    <w:p w14:paraId="68F52E5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1.1.3 招标人名称、地址、联系方式：见投标人需知前附表。</w:t>
      </w:r>
    </w:p>
    <w:p w14:paraId="2100AE8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9" w:name="_Toc200513128"/>
      <w:bookmarkStart w:id="10" w:name="_Toc325636582"/>
      <w:bookmarkStart w:id="11" w:name="_Toc317863424"/>
      <w:bookmarkStart w:id="12" w:name="_Toc334774166"/>
      <w:bookmarkStart w:id="13" w:name="_Toc31904"/>
      <w:bookmarkStart w:id="14" w:name="_Toc531594737"/>
      <w:r>
        <w:rPr>
          <w:rFonts w:ascii="Times New Roman" w:hAnsi="Times New Roman" w:eastAsia="方正仿宋_GBK" w:cs="Times New Roman"/>
          <w:b/>
          <w:color w:val="auto"/>
          <w:kern w:val="0"/>
          <w:sz w:val="21"/>
          <w:szCs w:val="21"/>
          <w:highlight w:val="none"/>
        </w:rPr>
        <w:t xml:space="preserve">1.2 </w:t>
      </w:r>
      <w:bookmarkEnd w:id="9"/>
      <w:bookmarkEnd w:id="10"/>
      <w:bookmarkEnd w:id="11"/>
      <w:r>
        <w:rPr>
          <w:rFonts w:ascii="Times New Roman" w:hAnsi="Times New Roman" w:eastAsia="方正仿宋_GBK" w:cs="Times New Roman"/>
          <w:b/>
          <w:color w:val="auto"/>
          <w:kern w:val="0"/>
          <w:sz w:val="21"/>
          <w:szCs w:val="21"/>
          <w:highlight w:val="none"/>
        </w:rPr>
        <w:t>资金来源和落实情况</w:t>
      </w:r>
      <w:bookmarkEnd w:id="12"/>
      <w:bookmarkEnd w:id="13"/>
      <w:bookmarkEnd w:id="14"/>
    </w:p>
    <w:p w14:paraId="32345DD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1.2.1 本招标项目的资金来源：见投标人需知前附表。</w:t>
      </w:r>
    </w:p>
    <w:p w14:paraId="1E00D10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1.2.2 本招标项目的资金落实情况：见投标人需知前附表。</w:t>
      </w:r>
    </w:p>
    <w:p w14:paraId="2060D8A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5" w:name="_Toc200513129"/>
      <w:bookmarkStart w:id="16" w:name="_Toc317863425"/>
      <w:bookmarkStart w:id="17" w:name="_Toc325636583"/>
      <w:bookmarkStart w:id="18" w:name="_Toc21275"/>
      <w:bookmarkStart w:id="19" w:name="_Toc334774167"/>
      <w:bookmarkStart w:id="20" w:name="_Toc531594738"/>
      <w:r>
        <w:rPr>
          <w:rFonts w:ascii="Times New Roman" w:hAnsi="Times New Roman" w:eastAsia="方正仿宋_GBK" w:cs="Times New Roman"/>
          <w:b/>
          <w:color w:val="auto"/>
          <w:kern w:val="0"/>
          <w:sz w:val="21"/>
          <w:szCs w:val="21"/>
          <w:highlight w:val="none"/>
        </w:rPr>
        <w:t>1.3 招标</w:t>
      </w:r>
      <w:bookmarkEnd w:id="15"/>
      <w:bookmarkEnd w:id="16"/>
      <w:r>
        <w:rPr>
          <w:rFonts w:ascii="Times New Roman" w:hAnsi="Times New Roman" w:eastAsia="方正仿宋_GBK" w:cs="Times New Roman"/>
          <w:b/>
          <w:color w:val="auto"/>
          <w:kern w:val="0"/>
          <w:sz w:val="21"/>
          <w:szCs w:val="21"/>
          <w:highlight w:val="none"/>
        </w:rPr>
        <w:t>内容</w:t>
      </w:r>
      <w:bookmarkEnd w:id="17"/>
      <w:bookmarkEnd w:id="18"/>
      <w:bookmarkEnd w:id="19"/>
      <w:bookmarkEnd w:id="20"/>
    </w:p>
    <w:p w14:paraId="3E64855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1.3.1 本次招标范围：见投标人需知前附表。</w:t>
      </w:r>
    </w:p>
    <w:p w14:paraId="315B37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1.3.2 交货方式、交货时间：见投标人需知前附表。</w:t>
      </w:r>
    </w:p>
    <w:p w14:paraId="136F5F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1.3.3 伴随服务要求：见投标人需知前附表。</w:t>
      </w:r>
    </w:p>
    <w:p w14:paraId="32B1DF6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1.3.4 质量保证期：见投标人需知前附表。</w:t>
      </w:r>
    </w:p>
    <w:p w14:paraId="6CD3F57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1.3.5 质量要求：见投标人需知前附表。</w:t>
      </w:r>
    </w:p>
    <w:p w14:paraId="1A7DA76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1.3.6 售后服务：见投标人需知前附表。</w:t>
      </w:r>
    </w:p>
    <w:p w14:paraId="618C294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1.3.7 项目验收：见投标人需知前附表。</w:t>
      </w:r>
    </w:p>
    <w:p w14:paraId="59197E1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1" w:name="_Toc531594739"/>
      <w:bookmarkStart w:id="22" w:name="_Toc334774168"/>
      <w:bookmarkStart w:id="23" w:name="_Toc325636584"/>
      <w:bookmarkStart w:id="24" w:name="_Toc8901"/>
      <w:r>
        <w:rPr>
          <w:rFonts w:ascii="Times New Roman" w:hAnsi="Times New Roman" w:eastAsia="方正仿宋_GBK" w:cs="Times New Roman"/>
          <w:b/>
          <w:color w:val="auto"/>
          <w:kern w:val="0"/>
          <w:sz w:val="21"/>
          <w:szCs w:val="21"/>
          <w:highlight w:val="none"/>
        </w:rPr>
        <w:t>1.4 投标人资格要求</w:t>
      </w:r>
      <w:bookmarkEnd w:id="21"/>
      <w:bookmarkEnd w:id="22"/>
      <w:bookmarkEnd w:id="23"/>
      <w:bookmarkEnd w:id="24"/>
    </w:p>
    <w:p w14:paraId="4206E94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1.4.1 投标人应具备承担本项目的资质条件、能力和信誉。</w:t>
      </w:r>
    </w:p>
    <w:p w14:paraId="1E3060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1.4.2 本项目不接受联合体投标。</w:t>
      </w:r>
    </w:p>
    <w:p w14:paraId="40F0E7D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 投标人不得存在下列情形之一：</w:t>
      </w:r>
    </w:p>
    <w:p w14:paraId="74FA97D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1.4.3.1 与国有资金投资或国家融资项目的招标人或招标代理机构有控股关系；</w:t>
      </w:r>
    </w:p>
    <w:p w14:paraId="4CA0F00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1.4.3.2 单位负责人为同一人或者存在控股、管理关系的不同单位，不得参加同一标段投标或者未划分标段的同一招标项目投标。</w:t>
      </w:r>
    </w:p>
    <w:p w14:paraId="5525D2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1.4.3.3 为参加同一招标项目投标的其他投标人编制投标文件或提供咨询服务；</w:t>
      </w:r>
    </w:p>
    <w:p w14:paraId="27077A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1.4.3.4 被有关行政部门暂停投标资格期限未满。</w:t>
      </w:r>
    </w:p>
    <w:p w14:paraId="64F9B36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5" w:name="_Toc317863427"/>
      <w:bookmarkStart w:id="26" w:name="_Toc334774169"/>
      <w:bookmarkStart w:id="27" w:name="_Toc531594740"/>
      <w:bookmarkStart w:id="28" w:name="_Toc17569"/>
      <w:bookmarkStart w:id="29" w:name="_Toc200513132"/>
      <w:bookmarkStart w:id="30" w:name="_Toc325636585"/>
      <w:r>
        <w:rPr>
          <w:rFonts w:ascii="Times New Roman" w:hAnsi="Times New Roman" w:eastAsia="方正仿宋_GBK" w:cs="Times New Roman"/>
          <w:b/>
          <w:color w:val="auto"/>
          <w:kern w:val="0"/>
          <w:sz w:val="21"/>
          <w:szCs w:val="21"/>
          <w:highlight w:val="none"/>
        </w:rPr>
        <w:t>1.5 费用承担</w:t>
      </w:r>
      <w:bookmarkEnd w:id="25"/>
      <w:bookmarkEnd w:id="26"/>
      <w:bookmarkEnd w:id="27"/>
      <w:bookmarkEnd w:id="28"/>
      <w:bookmarkEnd w:id="29"/>
      <w:bookmarkEnd w:id="30"/>
    </w:p>
    <w:p w14:paraId="5A6398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不论投标结果如何，投标人应自行承担其准备和参加本投标活动所涉及的一切费用。</w:t>
      </w:r>
    </w:p>
    <w:p w14:paraId="39DCA2E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31" w:name="_Toc317863428"/>
      <w:bookmarkStart w:id="32" w:name="_Toc200513133"/>
      <w:bookmarkStart w:id="33" w:name="_Toc325636586"/>
      <w:bookmarkStart w:id="34" w:name="_Toc334774170"/>
      <w:r>
        <w:rPr>
          <w:rFonts w:ascii="Times New Roman" w:hAnsi="Times New Roman" w:eastAsia="方正仿宋_GBK" w:cs="Times New Roman"/>
          <w:b/>
          <w:color w:val="auto"/>
          <w:kern w:val="0"/>
          <w:sz w:val="21"/>
          <w:szCs w:val="21"/>
          <w:highlight w:val="none"/>
        </w:rPr>
        <w:t>1.6 保密</w:t>
      </w:r>
      <w:bookmarkEnd w:id="31"/>
      <w:bookmarkEnd w:id="32"/>
      <w:bookmarkEnd w:id="33"/>
      <w:bookmarkEnd w:id="34"/>
    </w:p>
    <w:p w14:paraId="6061A4E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参与招标投标活动的各方应对招标文件和投标文件中的商业和技术等秘密保密，违者应对由此造成的后果承担法律责任。</w:t>
      </w:r>
    </w:p>
    <w:p w14:paraId="1CFFDB8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35" w:name="_Toc19952"/>
      <w:bookmarkStart w:id="36" w:name="_Toc317863429"/>
      <w:bookmarkStart w:id="37" w:name="_Toc334774171"/>
      <w:bookmarkStart w:id="38" w:name="_Toc531594741"/>
      <w:bookmarkStart w:id="39" w:name="_Toc200513134"/>
      <w:bookmarkStart w:id="40" w:name="_Toc325636587"/>
      <w:r>
        <w:rPr>
          <w:rFonts w:ascii="Times New Roman" w:hAnsi="Times New Roman" w:eastAsia="方正仿宋_GBK" w:cs="Times New Roman"/>
          <w:b/>
          <w:color w:val="auto"/>
          <w:kern w:val="0"/>
          <w:sz w:val="21"/>
          <w:szCs w:val="21"/>
          <w:highlight w:val="none"/>
        </w:rPr>
        <w:t>1.7 语言文字</w:t>
      </w:r>
      <w:bookmarkEnd w:id="35"/>
      <w:bookmarkEnd w:id="36"/>
      <w:bookmarkEnd w:id="37"/>
      <w:bookmarkEnd w:id="38"/>
      <w:bookmarkEnd w:id="39"/>
      <w:bookmarkEnd w:id="40"/>
    </w:p>
    <w:p w14:paraId="1E94B67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除专用术语外，与招标投标有关的语言均使用中文。必要时专用术语应附有中文注释。</w:t>
      </w:r>
    </w:p>
    <w:p w14:paraId="4A27A09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41" w:name="_Toc200513135"/>
      <w:bookmarkStart w:id="42" w:name="_Toc325636588"/>
      <w:bookmarkStart w:id="43" w:name="_Toc317863430"/>
      <w:bookmarkStart w:id="44" w:name="_Toc531594742"/>
      <w:bookmarkStart w:id="45" w:name="_Toc16650"/>
      <w:bookmarkStart w:id="46" w:name="_Toc334774172"/>
      <w:r>
        <w:rPr>
          <w:rFonts w:ascii="Times New Roman" w:hAnsi="Times New Roman" w:eastAsia="方正仿宋_GBK" w:cs="Times New Roman"/>
          <w:b/>
          <w:color w:val="auto"/>
          <w:kern w:val="0"/>
          <w:sz w:val="21"/>
          <w:szCs w:val="21"/>
          <w:highlight w:val="none"/>
        </w:rPr>
        <w:t>1.8 计量单位</w:t>
      </w:r>
      <w:bookmarkEnd w:id="41"/>
      <w:bookmarkEnd w:id="42"/>
      <w:bookmarkEnd w:id="43"/>
      <w:bookmarkEnd w:id="44"/>
      <w:bookmarkEnd w:id="45"/>
      <w:bookmarkEnd w:id="46"/>
    </w:p>
    <w:p w14:paraId="6D4943C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所有计量均采用中华人民共和国法定计量单位。</w:t>
      </w:r>
    </w:p>
    <w:p w14:paraId="2EBB2C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47" w:name="_Toc325636589"/>
      <w:bookmarkStart w:id="48" w:name="_Toc200513136"/>
      <w:bookmarkStart w:id="49" w:name="_Toc334774173"/>
      <w:bookmarkStart w:id="50" w:name="_Toc317863431"/>
      <w:bookmarkStart w:id="51" w:name="_Toc531594743"/>
      <w:bookmarkStart w:id="52" w:name="_Toc26520"/>
      <w:r>
        <w:rPr>
          <w:rFonts w:ascii="Times New Roman" w:hAnsi="Times New Roman" w:eastAsia="方正仿宋_GBK" w:cs="Times New Roman"/>
          <w:b/>
          <w:color w:val="auto"/>
          <w:kern w:val="0"/>
          <w:sz w:val="21"/>
          <w:szCs w:val="21"/>
          <w:highlight w:val="none"/>
        </w:rPr>
        <w:t>1.9 踏勘现场</w:t>
      </w:r>
      <w:bookmarkEnd w:id="47"/>
      <w:bookmarkEnd w:id="48"/>
      <w:bookmarkEnd w:id="49"/>
      <w:bookmarkEnd w:id="50"/>
      <w:bookmarkEnd w:id="51"/>
      <w:bookmarkEnd w:id="52"/>
    </w:p>
    <w:p w14:paraId="5DA4FF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由投标人自行踏勘现场。</w:t>
      </w:r>
    </w:p>
    <w:p w14:paraId="1DFB4A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1.10 投标预备会</w:t>
      </w:r>
    </w:p>
    <w:p w14:paraId="4C6969B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本项目不组织投标预备会。</w:t>
      </w:r>
    </w:p>
    <w:p w14:paraId="030A13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53" w:name="_Toc317863435"/>
      <w:bookmarkStart w:id="54" w:name="_Toc334774176"/>
      <w:bookmarkStart w:id="55" w:name="_Toc325636593"/>
      <w:bookmarkStart w:id="56" w:name="_Toc531594746"/>
      <w:bookmarkStart w:id="57" w:name="_Toc19903"/>
      <w:r>
        <w:rPr>
          <w:rFonts w:ascii="Times New Roman" w:hAnsi="Times New Roman" w:eastAsia="方正仿宋_GBK" w:cs="Times New Roman"/>
          <w:b/>
          <w:color w:val="auto"/>
          <w:kern w:val="0"/>
          <w:sz w:val="21"/>
          <w:szCs w:val="21"/>
          <w:highlight w:val="none"/>
        </w:rPr>
        <w:t>1.11 偏离</w:t>
      </w:r>
      <w:bookmarkEnd w:id="53"/>
      <w:bookmarkEnd w:id="54"/>
      <w:bookmarkEnd w:id="55"/>
      <w:bookmarkEnd w:id="56"/>
      <w:bookmarkEnd w:id="57"/>
    </w:p>
    <w:p w14:paraId="34A7B79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投标人需知前附表允许投标文件偏离招标文件某些要求的，偏离应当符合招标文件规定的偏离范围和幅度。</w:t>
      </w:r>
    </w:p>
    <w:p w14:paraId="213B9E5D">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2"/>
        <w:rPr>
          <w:rFonts w:ascii="Times New Roman" w:hAnsi="Times New Roman" w:eastAsia="方正楷体_GBK" w:cs="Times New Roman"/>
          <w:b/>
          <w:color w:val="auto"/>
          <w:w w:val="99"/>
          <w:kern w:val="0"/>
          <w:sz w:val="21"/>
          <w:szCs w:val="21"/>
          <w:highlight w:val="none"/>
          <w:lang w:val="zh-CN"/>
        </w:rPr>
      </w:pPr>
      <w:bookmarkStart w:id="58" w:name="_Toc334774177"/>
      <w:bookmarkStart w:id="59" w:name="_Toc531594747"/>
      <w:bookmarkStart w:id="60" w:name="_Toc200513140"/>
      <w:bookmarkStart w:id="61" w:name="_Toc317863436"/>
      <w:bookmarkStart w:id="62" w:name="_Toc778"/>
      <w:r>
        <w:rPr>
          <w:rFonts w:ascii="Times New Roman" w:hAnsi="Times New Roman" w:eastAsia="方正楷体_GBK" w:cs="Times New Roman"/>
          <w:b/>
          <w:color w:val="auto"/>
          <w:w w:val="99"/>
          <w:kern w:val="0"/>
          <w:sz w:val="21"/>
          <w:szCs w:val="21"/>
          <w:highlight w:val="none"/>
          <w:lang w:val="zh-CN"/>
        </w:rPr>
        <w:t>2.招标文件</w:t>
      </w:r>
      <w:bookmarkEnd w:id="58"/>
      <w:bookmarkEnd w:id="59"/>
      <w:bookmarkEnd w:id="60"/>
      <w:bookmarkEnd w:id="61"/>
      <w:bookmarkEnd w:id="62"/>
    </w:p>
    <w:p w14:paraId="0737133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63" w:name="_Toc32194"/>
      <w:bookmarkStart w:id="64" w:name="_Toc531594748"/>
      <w:bookmarkStart w:id="65" w:name="_Toc200513141"/>
      <w:bookmarkStart w:id="66" w:name="_Toc334774178"/>
      <w:bookmarkStart w:id="67" w:name="_Toc317863437"/>
      <w:bookmarkStart w:id="68" w:name="_Toc325636595"/>
      <w:r>
        <w:rPr>
          <w:rFonts w:ascii="Times New Roman" w:hAnsi="Times New Roman" w:eastAsia="方正仿宋_GBK" w:cs="Times New Roman"/>
          <w:b/>
          <w:color w:val="auto"/>
          <w:kern w:val="0"/>
          <w:sz w:val="21"/>
          <w:szCs w:val="21"/>
          <w:highlight w:val="none"/>
        </w:rPr>
        <w:t>2.1 招标文件的组成</w:t>
      </w:r>
      <w:bookmarkEnd w:id="63"/>
      <w:bookmarkEnd w:id="64"/>
      <w:bookmarkEnd w:id="65"/>
      <w:bookmarkEnd w:id="66"/>
      <w:bookmarkEnd w:id="67"/>
      <w:bookmarkEnd w:id="68"/>
    </w:p>
    <w:p w14:paraId="66E96FC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本招标文件包括：</w:t>
      </w:r>
    </w:p>
    <w:p w14:paraId="24734CF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（1）招标公告；</w:t>
      </w:r>
    </w:p>
    <w:p w14:paraId="765B6C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（2）投标人须知；</w:t>
      </w:r>
    </w:p>
    <w:p w14:paraId="382406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（3）技术标准和要求；</w:t>
      </w:r>
    </w:p>
    <w:p w14:paraId="61C77E9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（4）评标办法；</w:t>
      </w:r>
    </w:p>
    <w:p w14:paraId="3D50345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（5）投标文件格式；</w:t>
      </w:r>
    </w:p>
    <w:p w14:paraId="48F473A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根据本章第1.10款、第2.2款和第2.3款对招标文件所作的澄清、修改，构成招标文件的组成部分。</w:t>
      </w:r>
    </w:p>
    <w:p w14:paraId="650682A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69" w:name="_Toc200513142"/>
      <w:bookmarkStart w:id="70" w:name="_Toc334774179"/>
      <w:bookmarkStart w:id="71" w:name="_Toc325636596"/>
      <w:bookmarkStart w:id="72" w:name="_Toc317863438"/>
      <w:bookmarkStart w:id="73" w:name="_Toc531594749"/>
      <w:bookmarkStart w:id="74" w:name="_Toc13635"/>
      <w:r>
        <w:rPr>
          <w:rFonts w:ascii="Times New Roman" w:hAnsi="Times New Roman" w:eastAsia="方正仿宋_GBK" w:cs="Times New Roman"/>
          <w:b/>
          <w:color w:val="auto"/>
          <w:kern w:val="0"/>
          <w:sz w:val="21"/>
          <w:szCs w:val="21"/>
          <w:highlight w:val="none"/>
        </w:rPr>
        <w:t xml:space="preserve">2.2 </w:t>
      </w:r>
      <w:bookmarkEnd w:id="69"/>
      <w:bookmarkEnd w:id="70"/>
      <w:bookmarkEnd w:id="71"/>
      <w:bookmarkEnd w:id="72"/>
      <w:r>
        <w:rPr>
          <w:rFonts w:ascii="Times New Roman" w:hAnsi="Times New Roman" w:eastAsia="方正仿宋_GBK" w:cs="Times New Roman"/>
          <w:b/>
          <w:color w:val="auto"/>
          <w:kern w:val="0"/>
          <w:sz w:val="21"/>
          <w:szCs w:val="21"/>
          <w:highlight w:val="none"/>
        </w:rPr>
        <w:t>对招标文件的疑问</w:t>
      </w:r>
      <w:bookmarkEnd w:id="73"/>
      <w:bookmarkEnd w:id="74"/>
    </w:p>
    <w:p w14:paraId="45CFDD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2.2.1投标人应仔细阅读和检查下载的招标文件的全部内容。如发现缺页或附件不全，应及时向招标人提出，以便补齐。如有疑问，应在投标人须知前附表规定的形式和时间前，通知并要求招标人对招标文件予以澄清。</w:t>
      </w:r>
    </w:p>
    <w:p w14:paraId="5275EE2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75" w:name="_Toc29041"/>
      <w:bookmarkStart w:id="76" w:name="_Toc531594750"/>
      <w:r>
        <w:rPr>
          <w:rFonts w:ascii="Times New Roman" w:hAnsi="Times New Roman" w:eastAsia="方正仿宋_GBK" w:cs="Times New Roman"/>
          <w:b/>
          <w:color w:val="auto"/>
          <w:kern w:val="0"/>
          <w:sz w:val="21"/>
          <w:szCs w:val="21"/>
          <w:highlight w:val="none"/>
        </w:rPr>
        <w:t>2.3 招标文件的澄清、修改和答疑</w:t>
      </w:r>
      <w:bookmarkEnd w:id="75"/>
      <w:bookmarkEnd w:id="76"/>
    </w:p>
    <w:p w14:paraId="113D72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2.3.1 投标人如果有疑问，招标人以须知前附表规定的形式对招标文件澄清、修改和答疑，在重</w:t>
      </w:r>
      <w:r>
        <w:rPr>
          <w:rFonts w:hint="eastAsia" w:ascii="Times New Roman" w:hAnsi="Times New Roman" w:eastAsia="方正仿宋_GBK" w:cs="Times New Roman"/>
          <w:color w:val="auto"/>
          <w:kern w:val="0"/>
          <w:sz w:val="21"/>
          <w:szCs w:val="21"/>
          <w:highlight w:val="none"/>
        </w:rPr>
        <w:t>庆</w:t>
      </w:r>
      <w:r>
        <w:rPr>
          <w:rFonts w:ascii="Times New Roman" w:hAnsi="Times New Roman" w:eastAsia="方正仿宋_GBK" w:cs="Times New Roman"/>
          <w:color w:val="auto"/>
          <w:kern w:val="0"/>
          <w:sz w:val="21"/>
          <w:szCs w:val="21"/>
          <w:highlight w:val="none"/>
        </w:rPr>
        <w:t>财经学院校园网（http://www.cfec.edu.cn）发出通知或答疑通知；投标人应时刻在网上相应地方查寻通知、修改、答疑等信息，如果投标人疏忽大意，其后果自负。如果澄清、修改和答疑的时间距投标截止时间不足1天，经有关部门同意后通知相应延长投标截止时间。</w:t>
      </w:r>
    </w:p>
    <w:p w14:paraId="7D54202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2.3.2 投标人网上收到答疑、修改通知后，应按照内容执行，不必确认已收到该修改。</w:t>
      </w:r>
    </w:p>
    <w:p w14:paraId="1F61F5B3">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77" w:name="_Toc531594751"/>
      <w:bookmarkStart w:id="78" w:name="_Toc18374"/>
      <w:r>
        <w:rPr>
          <w:rFonts w:ascii="Times New Roman" w:hAnsi="Times New Roman" w:eastAsia="方正楷体_GBK" w:cs="Times New Roman"/>
          <w:b/>
          <w:color w:val="auto"/>
          <w:w w:val="99"/>
          <w:kern w:val="0"/>
          <w:sz w:val="21"/>
          <w:szCs w:val="21"/>
          <w:highlight w:val="none"/>
          <w:lang w:val="zh-CN"/>
        </w:rPr>
        <w:t>3.投标文件</w:t>
      </w:r>
      <w:bookmarkEnd w:id="77"/>
      <w:bookmarkEnd w:id="78"/>
    </w:p>
    <w:p w14:paraId="2D53A67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79" w:name="_Toc531594752"/>
      <w:bookmarkStart w:id="80" w:name="_Toc19286"/>
      <w:bookmarkStart w:id="81" w:name="_Toc334774182"/>
      <w:bookmarkStart w:id="82" w:name="_Toc317863441"/>
      <w:bookmarkStart w:id="83" w:name="_Toc325636599"/>
      <w:bookmarkStart w:id="84" w:name="_Toc200513145"/>
      <w:r>
        <w:rPr>
          <w:rFonts w:ascii="Times New Roman" w:hAnsi="Times New Roman" w:eastAsia="方正仿宋_GBK" w:cs="Times New Roman"/>
          <w:b/>
          <w:color w:val="auto"/>
          <w:kern w:val="0"/>
          <w:sz w:val="21"/>
          <w:szCs w:val="21"/>
          <w:highlight w:val="none"/>
        </w:rPr>
        <w:t>3.1 投标文件的组成</w:t>
      </w:r>
      <w:bookmarkEnd w:id="79"/>
      <w:bookmarkEnd w:id="80"/>
      <w:bookmarkEnd w:id="81"/>
      <w:bookmarkEnd w:id="82"/>
      <w:bookmarkEnd w:id="83"/>
      <w:bookmarkEnd w:id="84"/>
    </w:p>
    <w:p w14:paraId="1735B10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3.1.1 投标函</w:t>
      </w:r>
    </w:p>
    <w:p w14:paraId="01D4D5B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3.1.2 法定代表人身份证明及授权委托书</w:t>
      </w:r>
    </w:p>
    <w:p w14:paraId="5D17E9E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3.1.3 投标人基本情况表</w:t>
      </w:r>
    </w:p>
    <w:p w14:paraId="7976337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 xml:space="preserve">3.1.4 </w:t>
      </w:r>
      <w:r>
        <w:rPr>
          <w:rFonts w:hint="eastAsia" w:ascii="Times New Roman" w:hAnsi="Times New Roman" w:eastAsia="方正仿宋_GBK" w:cs="Times New Roman"/>
          <w:color w:val="auto"/>
          <w:kern w:val="0"/>
          <w:sz w:val="21"/>
          <w:szCs w:val="21"/>
          <w:highlight w:val="none"/>
        </w:rPr>
        <w:t>响应文件</w:t>
      </w:r>
    </w:p>
    <w:p w14:paraId="46A2460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3.1.5 相关资质证明及承诺</w:t>
      </w:r>
    </w:p>
    <w:p w14:paraId="5A668CD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 xml:space="preserve">3.1.6 </w:t>
      </w:r>
      <w:r>
        <w:rPr>
          <w:rFonts w:hint="eastAsia" w:ascii="Times New Roman" w:hAnsi="Times New Roman" w:eastAsia="方正仿宋_GBK" w:cs="Times New Roman"/>
          <w:color w:val="auto"/>
          <w:kern w:val="0"/>
          <w:sz w:val="21"/>
          <w:szCs w:val="21"/>
          <w:highlight w:val="none"/>
          <w:lang w:val="en-US" w:eastAsia="zh-CN"/>
        </w:rPr>
        <w:t>培训方案及</w:t>
      </w:r>
      <w:r>
        <w:rPr>
          <w:rFonts w:ascii="Times New Roman" w:hAnsi="Times New Roman" w:eastAsia="方正仿宋_GBK" w:cs="Times New Roman"/>
          <w:color w:val="auto"/>
          <w:kern w:val="0"/>
          <w:sz w:val="21"/>
          <w:szCs w:val="21"/>
          <w:highlight w:val="none"/>
        </w:rPr>
        <w:t>售后服务</w:t>
      </w:r>
    </w:p>
    <w:p w14:paraId="2B35A9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3.1.7 投标业绩一览表</w:t>
      </w:r>
    </w:p>
    <w:p w14:paraId="23CC59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3.1.8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年财务报表（包括资产负债表、利润表和现金流量表）</w:t>
      </w:r>
    </w:p>
    <w:p w14:paraId="21ECDF0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3.1.9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纳税、社保证明</w:t>
      </w:r>
    </w:p>
    <w:p w14:paraId="69D38D0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default" w:ascii="Times New Roman" w:hAnsi="Times New Roman" w:eastAsia="方正仿宋_GBK" w:cs="Times New Roman"/>
          <w:color w:val="auto"/>
          <w:kern w:val="0"/>
          <w:sz w:val="21"/>
          <w:szCs w:val="21"/>
          <w:highlight w:val="none"/>
          <w:lang w:val="en-US" w:eastAsia="zh-CN"/>
        </w:rPr>
      </w:pPr>
      <w:r>
        <w:rPr>
          <w:rFonts w:ascii="Times New Roman" w:hAnsi="Times New Roman" w:eastAsia="方正仿宋_GBK" w:cs="Times New Roman"/>
          <w:color w:val="auto"/>
          <w:kern w:val="0"/>
          <w:sz w:val="21"/>
          <w:szCs w:val="21"/>
          <w:highlight w:val="none"/>
        </w:rPr>
        <w:t>3.1.10</w:t>
      </w:r>
      <w:r>
        <w:rPr>
          <w:rFonts w:hint="eastAsia" w:ascii="Times New Roman" w:hAnsi="Times New Roman" w:eastAsia="方正仿宋_GBK" w:cs="Times New Roman"/>
          <w:color w:val="auto"/>
          <w:kern w:val="0"/>
          <w:sz w:val="21"/>
          <w:szCs w:val="21"/>
          <w:highlight w:val="none"/>
          <w:lang w:val="en-US" w:eastAsia="zh-CN"/>
        </w:rPr>
        <w:t xml:space="preserve"> </w:t>
      </w:r>
      <w:r>
        <w:rPr>
          <w:rFonts w:ascii="Times New Roman" w:hAnsi="Times New Roman" w:eastAsia="方正仿宋_GBK" w:cs="Times New Roman"/>
          <w:color w:val="auto"/>
          <w:kern w:val="0"/>
          <w:sz w:val="21"/>
          <w:szCs w:val="21"/>
          <w:highlight w:val="none"/>
        </w:rPr>
        <w:t>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官网诚信证明截图</w:t>
      </w:r>
    </w:p>
    <w:p w14:paraId="7FD88DA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hint="eastAsia" w:ascii="Times New Roman" w:hAnsi="Times New Roman" w:eastAsia="方正仿宋_GBK" w:cs="Times New Roman"/>
          <w:color w:val="auto"/>
          <w:kern w:val="0"/>
          <w:sz w:val="21"/>
          <w:szCs w:val="21"/>
          <w:highlight w:val="none"/>
          <w:lang w:val="en-US" w:eastAsia="zh-CN"/>
        </w:rPr>
        <w:t xml:space="preserve">3.1.11 </w:t>
      </w:r>
      <w:r>
        <w:rPr>
          <w:rFonts w:ascii="Times New Roman" w:hAnsi="Times New Roman" w:eastAsia="方正仿宋_GBK" w:cs="Times New Roman"/>
          <w:color w:val="auto"/>
          <w:kern w:val="0"/>
          <w:sz w:val="21"/>
          <w:szCs w:val="21"/>
          <w:highlight w:val="none"/>
        </w:rPr>
        <w:t>承诺函</w:t>
      </w:r>
    </w:p>
    <w:p w14:paraId="1C3E38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hint="eastAsia" w:ascii="Times New Roman" w:hAnsi="Times New Roman" w:eastAsia="方正仿宋_GBK" w:cs="Times New Roman"/>
          <w:color w:val="auto"/>
          <w:kern w:val="0"/>
          <w:sz w:val="21"/>
          <w:szCs w:val="21"/>
          <w:highlight w:val="none"/>
          <w:lang w:val="en-US" w:eastAsia="zh-CN"/>
        </w:rPr>
        <w:t>3.1.12 投标文件PDF格式的电子档U盘一份</w:t>
      </w:r>
    </w:p>
    <w:p w14:paraId="057CE3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3.2 投标报价</w:t>
      </w:r>
    </w:p>
    <w:p w14:paraId="2333E9E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3.2.1 投标人应按投标人须知前附表及其相关规定填报。</w:t>
      </w:r>
    </w:p>
    <w:p w14:paraId="19A118C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85" w:name="_Toc531594754"/>
      <w:bookmarkStart w:id="86" w:name="_Toc325636601"/>
      <w:bookmarkStart w:id="87" w:name="_Toc334774184"/>
      <w:bookmarkStart w:id="88" w:name="_Toc317863443"/>
      <w:bookmarkStart w:id="89" w:name="_Toc200513147"/>
      <w:bookmarkStart w:id="90" w:name="_Toc12196"/>
      <w:r>
        <w:rPr>
          <w:rFonts w:ascii="Times New Roman" w:hAnsi="Times New Roman" w:eastAsia="方正仿宋_GBK" w:cs="Times New Roman"/>
          <w:b/>
          <w:color w:val="auto"/>
          <w:kern w:val="0"/>
          <w:sz w:val="21"/>
          <w:szCs w:val="21"/>
          <w:highlight w:val="none"/>
        </w:rPr>
        <w:t>3.3 投标有效期</w:t>
      </w:r>
      <w:bookmarkEnd w:id="85"/>
      <w:bookmarkEnd w:id="86"/>
      <w:bookmarkEnd w:id="87"/>
      <w:bookmarkEnd w:id="88"/>
      <w:bookmarkEnd w:id="89"/>
      <w:bookmarkEnd w:id="90"/>
    </w:p>
    <w:p w14:paraId="5440B7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3.3.1 在投标人须知前附表规定的投标有效期内，投标人不得要求撤销或修改其投标文件。</w:t>
      </w:r>
    </w:p>
    <w:p w14:paraId="51B96EF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51E3C0A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91" w:name="_Toc28560"/>
      <w:bookmarkStart w:id="92" w:name="_Toc317863444"/>
      <w:bookmarkStart w:id="93" w:name="_Toc325636602"/>
      <w:bookmarkStart w:id="94" w:name="_Toc200513148"/>
      <w:bookmarkStart w:id="95" w:name="_Toc531594755"/>
      <w:bookmarkStart w:id="96" w:name="_Toc334774185"/>
      <w:r>
        <w:rPr>
          <w:rFonts w:ascii="Times New Roman" w:hAnsi="Times New Roman" w:eastAsia="方正仿宋_GBK" w:cs="Times New Roman"/>
          <w:b/>
          <w:color w:val="auto"/>
          <w:kern w:val="0"/>
          <w:sz w:val="21"/>
          <w:szCs w:val="21"/>
          <w:highlight w:val="none"/>
        </w:rPr>
        <w:t>3.4 投标保证金</w:t>
      </w:r>
      <w:bookmarkEnd w:id="91"/>
      <w:bookmarkEnd w:id="92"/>
      <w:bookmarkEnd w:id="93"/>
      <w:bookmarkEnd w:id="94"/>
      <w:bookmarkEnd w:id="95"/>
      <w:bookmarkEnd w:id="96"/>
    </w:p>
    <w:p w14:paraId="29624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3.4.1 投标人在递交投标文件的同时，应按“投标人须知前附表”规定的金额、形式缴纳投标保证金，并作为其投标文件的组成部分。</w:t>
      </w:r>
    </w:p>
    <w:p w14:paraId="3952329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3.4.2 投标人不按本章第 3.4.1 项要求提交投标保证金的，其投标文件作废标处理。</w:t>
      </w:r>
    </w:p>
    <w:p w14:paraId="216AAF0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3.4.3 招标人</w:t>
      </w:r>
      <w:r>
        <w:rPr>
          <w:rFonts w:hint="eastAsia" w:ascii="Times New Roman" w:hAnsi="Times New Roman" w:eastAsia="方正仿宋_GBK" w:cs="Times New Roman"/>
          <w:color w:val="auto"/>
          <w:kern w:val="0"/>
          <w:sz w:val="21"/>
          <w:szCs w:val="21"/>
          <w:highlight w:val="none"/>
        </w:rPr>
        <w:t>现场</w:t>
      </w:r>
      <w:r>
        <w:rPr>
          <w:rFonts w:ascii="Times New Roman" w:hAnsi="Times New Roman" w:eastAsia="方正仿宋_GBK" w:cs="Times New Roman"/>
          <w:color w:val="auto"/>
          <w:kern w:val="0"/>
          <w:sz w:val="21"/>
          <w:szCs w:val="21"/>
          <w:highlight w:val="none"/>
        </w:rPr>
        <w:t>退还未列入中标候选人的投标保证金（不计息），招标人与中标人签订合同后10个工作日内，学院向其他中标候选人退还投标保证金（不计息）。</w:t>
      </w:r>
    </w:p>
    <w:p w14:paraId="14C89A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3.4.4 有下列情形之一的，投标保证金将不予退还：</w:t>
      </w:r>
    </w:p>
    <w:p w14:paraId="6ED7F72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3.4.4.1 投标人在规定的投标有效期内撤销或修改其投标文件；</w:t>
      </w:r>
    </w:p>
    <w:p w14:paraId="6E313A3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3.4.4.2 中标人在中标通知书发出3日之内拒绝签订合同，其保证金将不予退还。</w:t>
      </w:r>
    </w:p>
    <w:p w14:paraId="7192CF2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3.5 资格审查资料</w:t>
      </w:r>
    </w:p>
    <w:p w14:paraId="28220B8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3.5.1 本须知前附表1.4.1条要求的相关资料复印件（需要加盖公章）和投标文件格式要求的内容；</w:t>
      </w:r>
    </w:p>
    <w:p w14:paraId="3D20CD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97" w:name="_Toc325636604"/>
      <w:bookmarkStart w:id="98" w:name="_Toc334774187"/>
      <w:bookmarkStart w:id="99" w:name="_Toc317863446"/>
      <w:bookmarkStart w:id="100" w:name="_Toc7983"/>
      <w:bookmarkStart w:id="101" w:name="_Toc200513151"/>
      <w:bookmarkStart w:id="102" w:name="_Toc531594756"/>
      <w:r>
        <w:rPr>
          <w:rFonts w:ascii="Times New Roman" w:hAnsi="Times New Roman" w:eastAsia="方正仿宋_GBK" w:cs="Times New Roman"/>
          <w:b/>
          <w:color w:val="auto"/>
          <w:kern w:val="0"/>
          <w:sz w:val="21"/>
          <w:szCs w:val="21"/>
          <w:highlight w:val="none"/>
        </w:rPr>
        <w:t>3.6 备选投标人案</w:t>
      </w:r>
      <w:bookmarkEnd w:id="97"/>
      <w:bookmarkEnd w:id="98"/>
      <w:bookmarkEnd w:id="99"/>
      <w:bookmarkEnd w:id="100"/>
      <w:bookmarkEnd w:id="101"/>
      <w:bookmarkEnd w:id="102"/>
    </w:p>
    <w:p w14:paraId="2E65511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投标人不得递交备选投标人案。</w:t>
      </w:r>
    </w:p>
    <w:p w14:paraId="7FE5B6C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03" w:name="_Toc317863447"/>
      <w:bookmarkStart w:id="104" w:name="_Toc21408"/>
      <w:bookmarkStart w:id="105" w:name="_Toc325636605"/>
      <w:bookmarkStart w:id="106" w:name="_Toc531594757"/>
      <w:bookmarkStart w:id="107" w:name="_Toc200513152"/>
      <w:bookmarkStart w:id="108" w:name="_Toc334774188"/>
      <w:r>
        <w:rPr>
          <w:rFonts w:ascii="Times New Roman" w:hAnsi="Times New Roman" w:eastAsia="方正仿宋_GBK" w:cs="Times New Roman"/>
          <w:b/>
          <w:color w:val="auto"/>
          <w:kern w:val="0"/>
          <w:sz w:val="21"/>
          <w:szCs w:val="21"/>
          <w:highlight w:val="none"/>
        </w:rPr>
        <w:t>3.7 投标文件的编制</w:t>
      </w:r>
      <w:bookmarkEnd w:id="103"/>
      <w:bookmarkEnd w:id="104"/>
      <w:bookmarkEnd w:id="105"/>
      <w:bookmarkEnd w:id="106"/>
      <w:bookmarkEnd w:id="107"/>
      <w:bookmarkEnd w:id="108"/>
    </w:p>
    <w:p w14:paraId="2AA0CF3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14:paraId="76399D4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3.7.2 投标文件应当对招标文件有关工期、投标有效期、质量要求、技术标准和要求、招标范围等实质性内容做出响应。</w:t>
      </w:r>
    </w:p>
    <w:p w14:paraId="1B53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3.7.3 投标文件应用不褪色的材料书写或打印，并由投标人的法定代表人或其委托代理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14:paraId="7A7E5B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3.7.4 投标文件份数见投标须知前附表。</w:t>
      </w:r>
    </w:p>
    <w:p w14:paraId="5C7AEB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3.7.5 投标文件的正本与副本应分别装订成册，并编制目录，具体装订要求见投标人须知前附表规定。</w:t>
      </w:r>
    </w:p>
    <w:p w14:paraId="72B64B7A">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09" w:name="_Toc13793"/>
      <w:bookmarkStart w:id="110" w:name="_Toc317863448"/>
      <w:bookmarkStart w:id="111" w:name="_Toc531594758"/>
      <w:bookmarkStart w:id="112" w:name="_Toc334774189"/>
      <w:bookmarkStart w:id="113" w:name="_Toc200513153"/>
      <w:r>
        <w:rPr>
          <w:rFonts w:ascii="Times New Roman" w:hAnsi="Times New Roman" w:eastAsia="方正楷体_GBK" w:cs="Times New Roman"/>
          <w:b/>
          <w:color w:val="auto"/>
          <w:w w:val="99"/>
          <w:kern w:val="0"/>
          <w:sz w:val="21"/>
          <w:szCs w:val="21"/>
          <w:highlight w:val="none"/>
          <w:lang w:val="zh-CN"/>
        </w:rPr>
        <w:t>4.投标</w:t>
      </w:r>
      <w:bookmarkEnd w:id="109"/>
      <w:bookmarkEnd w:id="110"/>
      <w:bookmarkEnd w:id="111"/>
      <w:bookmarkEnd w:id="112"/>
      <w:bookmarkEnd w:id="113"/>
    </w:p>
    <w:p w14:paraId="567A863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14" w:name="_Toc26003"/>
      <w:bookmarkStart w:id="115" w:name="_Toc325636607"/>
      <w:bookmarkStart w:id="116" w:name="_Toc317863449"/>
      <w:bookmarkStart w:id="117" w:name="_Toc531594759"/>
      <w:bookmarkStart w:id="118" w:name="_Toc334774190"/>
      <w:bookmarkStart w:id="119" w:name="_Toc200513154"/>
      <w:r>
        <w:rPr>
          <w:rFonts w:ascii="Times New Roman" w:hAnsi="Times New Roman" w:eastAsia="方正仿宋_GBK" w:cs="Times New Roman"/>
          <w:b/>
          <w:color w:val="auto"/>
          <w:kern w:val="0"/>
          <w:sz w:val="21"/>
          <w:szCs w:val="21"/>
          <w:highlight w:val="none"/>
        </w:rPr>
        <w:t>4.1 投标文件的密封和标记</w:t>
      </w:r>
      <w:bookmarkEnd w:id="114"/>
      <w:bookmarkEnd w:id="115"/>
      <w:bookmarkEnd w:id="116"/>
      <w:bookmarkEnd w:id="117"/>
      <w:bookmarkEnd w:id="118"/>
      <w:bookmarkEnd w:id="119"/>
    </w:p>
    <w:p w14:paraId="357D13B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4.1.1 投标文件的密封见投标人须知前附表。</w:t>
      </w:r>
    </w:p>
    <w:p w14:paraId="1A699AB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4.1.2 投标文件的封套上应写明的内容见投标人须知前附表。</w:t>
      </w:r>
    </w:p>
    <w:p w14:paraId="6060118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4.1.3 未按要求密封和写标记的投标文件，将被拒绝受理。</w:t>
      </w:r>
    </w:p>
    <w:p w14:paraId="608E303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20" w:name="_Toc531594760"/>
      <w:bookmarkStart w:id="121" w:name="_Toc317863450"/>
      <w:bookmarkStart w:id="122" w:name="_Toc5004"/>
      <w:bookmarkStart w:id="123" w:name="_Toc325636608"/>
      <w:bookmarkStart w:id="124" w:name="_Toc334774191"/>
      <w:r>
        <w:rPr>
          <w:rFonts w:ascii="Times New Roman" w:hAnsi="Times New Roman" w:eastAsia="方正仿宋_GBK" w:cs="Times New Roman"/>
          <w:b/>
          <w:color w:val="auto"/>
          <w:kern w:val="0"/>
          <w:sz w:val="21"/>
          <w:szCs w:val="21"/>
          <w:highlight w:val="none"/>
        </w:rPr>
        <w:t>4.2 投标文件的递交</w:t>
      </w:r>
      <w:bookmarkEnd w:id="120"/>
      <w:bookmarkEnd w:id="121"/>
      <w:bookmarkEnd w:id="122"/>
      <w:bookmarkEnd w:id="123"/>
      <w:bookmarkEnd w:id="124"/>
    </w:p>
    <w:p w14:paraId="49DD116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4.2.1 投标人应在本章前附表规定的投标截止时间前递交投标文件。</w:t>
      </w:r>
    </w:p>
    <w:p w14:paraId="40F0E78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4.2.2 投标人递交投标文件的地点：见投标人须知前附表。</w:t>
      </w:r>
    </w:p>
    <w:p w14:paraId="74EEAA0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4.2.3 除投标人须知前附表另有规定外，投标人所递交的投标文件不予退还。</w:t>
      </w:r>
    </w:p>
    <w:p w14:paraId="02FD26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4.2.4 招标人收到投标文件后，向投标人出具签收凭证。</w:t>
      </w:r>
    </w:p>
    <w:p w14:paraId="44CD48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4.2.5 逾期送达的或者未送达指定地点的投标文件，招标人不予受理。</w:t>
      </w:r>
    </w:p>
    <w:p w14:paraId="1267C2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25" w:name="_Toc325636609"/>
      <w:bookmarkStart w:id="126" w:name="_Toc200513156"/>
      <w:bookmarkStart w:id="127" w:name="_Toc334774192"/>
      <w:bookmarkStart w:id="128" w:name="_Toc531594761"/>
      <w:bookmarkStart w:id="129" w:name="_Toc20769"/>
      <w:bookmarkStart w:id="130" w:name="_Toc317863451"/>
      <w:r>
        <w:rPr>
          <w:rFonts w:ascii="Times New Roman" w:hAnsi="Times New Roman" w:eastAsia="方正仿宋_GBK" w:cs="Times New Roman"/>
          <w:b/>
          <w:color w:val="auto"/>
          <w:kern w:val="0"/>
          <w:sz w:val="21"/>
          <w:szCs w:val="21"/>
          <w:highlight w:val="none"/>
        </w:rPr>
        <w:t>4.3 投标文件的修改与撤回</w:t>
      </w:r>
      <w:bookmarkEnd w:id="125"/>
      <w:bookmarkEnd w:id="126"/>
      <w:bookmarkEnd w:id="127"/>
      <w:bookmarkEnd w:id="128"/>
      <w:bookmarkEnd w:id="129"/>
      <w:bookmarkEnd w:id="130"/>
    </w:p>
    <w:p w14:paraId="31A31E5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4.3.1 在本章第4.2.1项规定的投标截止时间前，投标人可以修改或撤回已递交的投标文件，但应以书面形式通知招标人。</w:t>
      </w:r>
    </w:p>
    <w:p w14:paraId="59CFC6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4.3.2 投标人修改或撤回已递交投标文件的书面通知应按照本章第3.7.3项的要求签字或盖章。招标人收到书面通知后，向投标人出具签收凭证。</w:t>
      </w:r>
    </w:p>
    <w:p w14:paraId="130870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4.3.3 修改的内容为投标文件的组成部分。修改的投标文件应按照本章第3条、第4条规定进行编制、密封、标记和递交，并标明“修改”字样。</w:t>
      </w:r>
    </w:p>
    <w:p w14:paraId="45D9FD51">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31" w:name="_Toc334774193"/>
      <w:bookmarkStart w:id="132" w:name="_Toc1489"/>
      <w:bookmarkStart w:id="133" w:name="_Toc317863452"/>
      <w:bookmarkStart w:id="134" w:name="_Toc200513157"/>
      <w:bookmarkStart w:id="135" w:name="_Toc531594762"/>
      <w:r>
        <w:rPr>
          <w:rFonts w:ascii="Times New Roman" w:hAnsi="Times New Roman" w:eastAsia="方正楷体_GBK" w:cs="Times New Roman"/>
          <w:b/>
          <w:color w:val="auto"/>
          <w:w w:val="99"/>
          <w:kern w:val="0"/>
          <w:sz w:val="21"/>
          <w:szCs w:val="21"/>
          <w:highlight w:val="none"/>
          <w:lang w:val="zh-CN"/>
        </w:rPr>
        <w:t>5.开标</w:t>
      </w:r>
      <w:bookmarkEnd w:id="131"/>
      <w:bookmarkEnd w:id="132"/>
      <w:bookmarkEnd w:id="133"/>
      <w:bookmarkEnd w:id="134"/>
      <w:r>
        <w:rPr>
          <w:rFonts w:ascii="Times New Roman" w:hAnsi="Times New Roman" w:eastAsia="方正楷体_GBK" w:cs="Times New Roman"/>
          <w:b/>
          <w:color w:val="auto"/>
          <w:w w:val="99"/>
          <w:kern w:val="0"/>
          <w:sz w:val="21"/>
          <w:szCs w:val="21"/>
          <w:highlight w:val="none"/>
          <w:lang w:val="zh-CN"/>
        </w:rPr>
        <w:t>时间及地点</w:t>
      </w:r>
      <w:bookmarkEnd w:id="135"/>
    </w:p>
    <w:p w14:paraId="56D7F3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36" w:name="_Toc531594763"/>
      <w:r>
        <w:rPr>
          <w:rFonts w:ascii="Times New Roman" w:hAnsi="Times New Roman" w:eastAsia="方正仿宋_GBK" w:cs="Times New Roman"/>
          <w:color w:val="auto"/>
          <w:kern w:val="0"/>
          <w:sz w:val="21"/>
          <w:szCs w:val="21"/>
          <w:highlight w:val="none"/>
        </w:rPr>
        <w:t>开标时间及地点见投标人需知前附表</w:t>
      </w:r>
      <w:bookmarkEnd w:id="136"/>
    </w:p>
    <w:p w14:paraId="35A6597C">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37" w:name="_Toc531594764"/>
      <w:r>
        <w:rPr>
          <w:rFonts w:ascii="Times New Roman" w:hAnsi="Times New Roman" w:eastAsia="方正楷体_GBK" w:cs="Times New Roman"/>
          <w:b/>
          <w:color w:val="auto"/>
          <w:w w:val="99"/>
          <w:kern w:val="0"/>
          <w:sz w:val="21"/>
          <w:szCs w:val="21"/>
          <w:highlight w:val="none"/>
          <w:lang w:val="zh-CN"/>
        </w:rPr>
        <w:t>6.评标</w:t>
      </w:r>
      <w:bookmarkEnd w:id="137"/>
    </w:p>
    <w:p w14:paraId="49C3C2E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38" w:name="_Toc325636614"/>
      <w:bookmarkStart w:id="139" w:name="_Toc200513161"/>
      <w:bookmarkStart w:id="140" w:name="_Toc317863456"/>
      <w:bookmarkStart w:id="141" w:name="_Toc16186"/>
      <w:bookmarkStart w:id="142" w:name="_Toc334774197"/>
      <w:bookmarkStart w:id="143" w:name="_Toc531594765"/>
      <w:r>
        <w:rPr>
          <w:rFonts w:ascii="Times New Roman" w:hAnsi="Times New Roman" w:eastAsia="方正仿宋_GBK" w:cs="Times New Roman"/>
          <w:b/>
          <w:color w:val="auto"/>
          <w:kern w:val="0"/>
          <w:sz w:val="21"/>
          <w:szCs w:val="21"/>
          <w:highlight w:val="none"/>
        </w:rPr>
        <w:t>6.1 评标委员会</w:t>
      </w:r>
      <w:bookmarkEnd w:id="138"/>
      <w:bookmarkEnd w:id="139"/>
      <w:bookmarkEnd w:id="140"/>
      <w:bookmarkEnd w:id="141"/>
      <w:bookmarkEnd w:id="142"/>
      <w:bookmarkEnd w:id="143"/>
    </w:p>
    <w:p w14:paraId="76194ED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6.1.1 评标由招标人依法组建的评标委员会负责。评标委员会成员的确定方式见投标人须知前附表。</w:t>
      </w:r>
    </w:p>
    <w:p w14:paraId="43F19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 评标委员会成员有下列情形之一的，应当回避：</w:t>
      </w:r>
    </w:p>
    <w:p w14:paraId="254254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6.1.2.1 招标人或投标人的主要负责人的近亲属；</w:t>
      </w:r>
    </w:p>
    <w:p w14:paraId="7CACA03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6.1.2.2 项目主管部门或者行政监督部门的人员；</w:t>
      </w:r>
    </w:p>
    <w:p w14:paraId="058B9C6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6.1.2.3 与投标人有经济利益关系，可能影响对投标公正评审的；</w:t>
      </w:r>
    </w:p>
    <w:p w14:paraId="57FA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6.1.2.4 曾因在招标、评标以及其他与招标投标有关活动中从事违法行为而受过行政处罚或刑事处罚的。</w:t>
      </w:r>
    </w:p>
    <w:p w14:paraId="4D2963E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44" w:name="_Toc531594766"/>
      <w:bookmarkStart w:id="145" w:name="_Toc200513162"/>
      <w:bookmarkStart w:id="146" w:name="_Toc18631"/>
      <w:bookmarkStart w:id="147" w:name="_Toc325636615"/>
      <w:bookmarkStart w:id="148" w:name="_Toc334774198"/>
      <w:bookmarkStart w:id="149" w:name="_Toc317863457"/>
      <w:r>
        <w:rPr>
          <w:rFonts w:ascii="Times New Roman" w:hAnsi="Times New Roman" w:eastAsia="方正仿宋_GBK" w:cs="Times New Roman"/>
          <w:b/>
          <w:color w:val="auto"/>
          <w:kern w:val="0"/>
          <w:sz w:val="21"/>
          <w:szCs w:val="21"/>
          <w:highlight w:val="none"/>
        </w:rPr>
        <w:t>6.2 评标原则</w:t>
      </w:r>
      <w:bookmarkEnd w:id="144"/>
      <w:bookmarkEnd w:id="145"/>
      <w:bookmarkEnd w:id="146"/>
      <w:bookmarkEnd w:id="147"/>
      <w:bookmarkEnd w:id="148"/>
      <w:bookmarkEnd w:id="149"/>
    </w:p>
    <w:p w14:paraId="4EF5583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eastAsia="zh-CN"/>
        </w:rPr>
      </w:pPr>
      <w:r>
        <w:rPr>
          <w:rFonts w:hint="eastAsia" w:ascii="Times New Roman" w:hAnsi="Times New Roman" w:eastAsia="方正仿宋_GBK" w:cs="Times New Roman"/>
          <w:color w:val="auto"/>
          <w:kern w:val="0"/>
          <w:sz w:val="21"/>
          <w:szCs w:val="21"/>
          <w:highlight w:val="none"/>
          <w:lang w:val="en-US" w:eastAsia="zh-CN"/>
        </w:rPr>
        <w:t>本项目采用评分法的原则，其中经济部分30分、技术部分45分，商务部分25分，共计100分。</w:t>
      </w:r>
    </w:p>
    <w:p w14:paraId="0027B08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6.3 评标</w:t>
      </w:r>
    </w:p>
    <w:p w14:paraId="0DAC6E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评标委员会按照第四章“评标原则”规定的方法、评审因素、标准和程序对投标文件进行评审。</w:t>
      </w:r>
    </w:p>
    <w:p w14:paraId="2B0DADF2">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50" w:name="_Toc334774200"/>
      <w:bookmarkStart w:id="151" w:name="_Toc5106"/>
      <w:bookmarkStart w:id="152" w:name="_Toc531594767"/>
      <w:bookmarkStart w:id="153" w:name="_Toc317863459"/>
      <w:r>
        <w:rPr>
          <w:rFonts w:ascii="Times New Roman" w:hAnsi="Times New Roman" w:eastAsia="方正楷体_GBK" w:cs="Times New Roman"/>
          <w:b/>
          <w:color w:val="auto"/>
          <w:w w:val="99"/>
          <w:kern w:val="0"/>
          <w:sz w:val="21"/>
          <w:szCs w:val="21"/>
          <w:highlight w:val="none"/>
          <w:lang w:val="zh-CN"/>
        </w:rPr>
        <w:t>7.合同授予</w:t>
      </w:r>
      <w:bookmarkEnd w:id="150"/>
      <w:bookmarkEnd w:id="151"/>
      <w:bookmarkEnd w:id="152"/>
      <w:bookmarkEnd w:id="153"/>
    </w:p>
    <w:p w14:paraId="46D6DCF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54" w:name="_Toc334774201"/>
      <w:bookmarkStart w:id="155" w:name="_Toc531594768"/>
      <w:bookmarkStart w:id="156" w:name="_Toc22299"/>
      <w:bookmarkStart w:id="157" w:name="_Toc200513165"/>
      <w:bookmarkStart w:id="158" w:name="_Toc325636618"/>
      <w:bookmarkStart w:id="159" w:name="_Toc317863460"/>
      <w:r>
        <w:rPr>
          <w:rFonts w:ascii="Times New Roman" w:hAnsi="Times New Roman" w:eastAsia="方正仿宋_GBK" w:cs="Times New Roman"/>
          <w:b/>
          <w:color w:val="auto"/>
          <w:kern w:val="0"/>
          <w:sz w:val="21"/>
          <w:szCs w:val="21"/>
          <w:highlight w:val="none"/>
        </w:rPr>
        <w:t>7.1 定标方式</w:t>
      </w:r>
      <w:bookmarkEnd w:id="154"/>
      <w:bookmarkEnd w:id="155"/>
      <w:bookmarkEnd w:id="156"/>
      <w:bookmarkEnd w:id="157"/>
      <w:bookmarkEnd w:id="158"/>
      <w:bookmarkEnd w:id="159"/>
    </w:p>
    <w:p w14:paraId="3BE7905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除投标人须知前附表规定评标委员会直接确定中标人外，招标人依据评标委员会推荐的中标候选人确定中标人，评标委员会推荐中标候选人的人数见投标人须知前附表。</w:t>
      </w:r>
    </w:p>
    <w:p w14:paraId="3D989A8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60" w:name="_Toc325636619"/>
      <w:bookmarkStart w:id="161" w:name="_Toc334774202"/>
      <w:bookmarkStart w:id="162" w:name="_Toc200513166"/>
      <w:bookmarkStart w:id="163" w:name="_Toc531594769"/>
      <w:bookmarkStart w:id="164" w:name="_Toc19729"/>
      <w:bookmarkStart w:id="165" w:name="_Toc317863461"/>
      <w:r>
        <w:rPr>
          <w:rFonts w:ascii="Times New Roman" w:hAnsi="Times New Roman" w:eastAsia="方正仿宋_GBK" w:cs="Times New Roman"/>
          <w:b/>
          <w:color w:val="auto"/>
          <w:kern w:val="0"/>
          <w:sz w:val="21"/>
          <w:szCs w:val="21"/>
          <w:highlight w:val="none"/>
        </w:rPr>
        <w:t>7.2 中标通知</w:t>
      </w:r>
      <w:bookmarkEnd w:id="160"/>
      <w:bookmarkEnd w:id="161"/>
      <w:bookmarkEnd w:id="162"/>
      <w:bookmarkEnd w:id="163"/>
      <w:bookmarkEnd w:id="164"/>
      <w:bookmarkEnd w:id="165"/>
    </w:p>
    <w:p w14:paraId="226C960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在本章第 3.3 款规定的投标有效期内，招标人以</w:t>
      </w:r>
      <w:r>
        <w:rPr>
          <w:rFonts w:hint="eastAsia" w:ascii="Times New Roman" w:hAnsi="Times New Roman" w:eastAsia="方正仿宋_GBK" w:cs="Times New Roman"/>
          <w:color w:val="auto"/>
          <w:kern w:val="0"/>
          <w:sz w:val="21"/>
          <w:szCs w:val="21"/>
          <w:highlight w:val="none"/>
          <w:lang w:eastAsia="zh-CN"/>
        </w:rPr>
        <w:t>书面</w:t>
      </w:r>
      <w:r>
        <w:rPr>
          <w:rFonts w:ascii="Times New Roman" w:hAnsi="Times New Roman" w:eastAsia="方正仿宋_GBK" w:cs="Times New Roman"/>
          <w:color w:val="auto"/>
          <w:kern w:val="0"/>
          <w:sz w:val="21"/>
          <w:szCs w:val="21"/>
          <w:highlight w:val="none"/>
        </w:rPr>
        <w:t>的形式向中标人发出中标通知书。</w:t>
      </w:r>
    </w:p>
    <w:p w14:paraId="3AC4E08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66" w:name="_Toc317863463"/>
      <w:bookmarkStart w:id="167" w:name="_Toc325636621"/>
      <w:bookmarkStart w:id="168" w:name="_Toc531594770"/>
      <w:bookmarkStart w:id="169" w:name="_Toc334774203"/>
      <w:bookmarkStart w:id="170" w:name="_Toc9808"/>
      <w:r>
        <w:rPr>
          <w:rFonts w:ascii="Times New Roman" w:hAnsi="Times New Roman" w:eastAsia="方正仿宋_GBK" w:cs="Times New Roman"/>
          <w:b/>
          <w:color w:val="auto"/>
          <w:kern w:val="0"/>
          <w:sz w:val="21"/>
          <w:szCs w:val="21"/>
          <w:highlight w:val="none"/>
        </w:rPr>
        <w:t>7.3 签订合同</w:t>
      </w:r>
      <w:bookmarkEnd w:id="166"/>
      <w:bookmarkEnd w:id="167"/>
      <w:bookmarkEnd w:id="168"/>
      <w:bookmarkEnd w:id="169"/>
      <w:bookmarkEnd w:id="170"/>
    </w:p>
    <w:p w14:paraId="2DE6DEF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0D051C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7.3.2 发出中标通知书后，招标人无正当理由拒签合同的，招标人向中标人退还投标保证金；给中标人造成损失的，还应当赔偿损失。</w:t>
      </w:r>
    </w:p>
    <w:p w14:paraId="1828E18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7.3.3 投标人中标后又提出对招标文件中各项条款的不实质性响应，经双方协商，在7.3.1条规定的时间内不能达成一致意见的，招标人有权取消其中标资格，并没收其投标保证金。</w:t>
      </w:r>
    </w:p>
    <w:p w14:paraId="735FB3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7.3.4 签订合同后，</w:t>
      </w:r>
      <w:r>
        <w:rPr>
          <w:rFonts w:hint="eastAsia" w:ascii="Times New Roman" w:hAnsi="Times New Roman" w:eastAsia="方正仿宋_GBK" w:cs="Times New Roman"/>
          <w:color w:val="auto"/>
          <w:kern w:val="0"/>
          <w:sz w:val="21"/>
          <w:szCs w:val="21"/>
          <w:highlight w:val="none"/>
          <w:lang w:eastAsia="zh-CN"/>
        </w:rPr>
        <w:t>中标人</w:t>
      </w:r>
      <w:r>
        <w:rPr>
          <w:rFonts w:ascii="Times New Roman" w:hAnsi="Times New Roman" w:eastAsia="方正仿宋_GBK" w:cs="Times New Roman"/>
          <w:color w:val="auto"/>
          <w:kern w:val="0"/>
          <w:sz w:val="21"/>
          <w:szCs w:val="21"/>
          <w:highlight w:val="none"/>
        </w:rPr>
        <w:t>放弃</w:t>
      </w:r>
      <w:r>
        <w:rPr>
          <w:rFonts w:hint="eastAsia" w:ascii="Times New Roman" w:hAnsi="Times New Roman" w:eastAsia="方正仿宋_GBK" w:cs="Times New Roman"/>
          <w:color w:val="auto"/>
          <w:kern w:val="0"/>
          <w:sz w:val="21"/>
          <w:szCs w:val="21"/>
          <w:highlight w:val="none"/>
          <w:lang w:val="en-US" w:eastAsia="zh-CN"/>
        </w:rPr>
        <w:t>中标</w:t>
      </w:r>
      <w:r>
        <w:rPr>
          <w:rFonts w:ascii="Times New Roman" w:hAnsi="Times New Roman" w:eastAsia="方正仿宋_GBK" w:cs="Times New Roman"/>
          <w:color w:val="auto"/>
          <w:kern w:val="0"/>
          <w:sz w:val="21"/>
          <w:szCs w:val="21"/>
          <w:highlight w:val="none"/>
        </w:rPr>
        <w:t>权或因自身原因（如资金不保证，设备、机具、劳动力等资源不保证,无法提交履约担保等等）不能履行合同，</w:t>
      </w:r>
      <w:r>
        <w:rPr>
          <w:rFonts w:hint="eastAsia" w:ascii="Times New Roman" w:hAnsi="Times New Roman" w:eastAsia="方正仿宋_GBK" w:cs="Times New Roman"/>
          <w:color w:val="auto"/>
          <w:kern w:val="0"/>
          <w:sz w:val="21"/>
          <w:szCs w:val="21"/>
          <w:highlight w:val="none"/>
        </w:rPr>
        <w:t>招标</w:t>
      </w:r>
      <w:r>
        <w:rPr>
          <w:rFonts w:ascii="Times New Roman" w:hAnsi="Times New Roman" w:eastAsia="方正仿宋_GBK" w:cs="Times New Roman"/>
          <w:color w:val="auto"/>
          <w:kern w:val="0"/>
          <w:sz w:val="21"/>
          <w:szCs w:val="21"/>
          <w:highlight w:val="none"/>
        </w:rPr>
        <w:t>人有权终止合同，并没收其投标保证金及履约保证金。</w:t>
      </w:r>
    </w:p>
    <w:p w14:paraId="3967EBB4">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71" w:name="_Toc317863464"/>
      <w:bookmarkStart w:id="172" w:name="_Toc15584"/>
      <w:bookmarkStart w:id="173" w:name="_Toc334774204"/>
      <w:bookmarkStart w:id="174" w:name="_Toc531594771"/>
      <w:r>
        <w:rPr>
          <w:rFonts w:ascii="Times New Roman" w:hAnsi="Times New Roman" w:eastAsia="方正楷体_GBK" w:cs="Times New Roman"/>
          <w:b/>
          <w:color w:val="auto"/>
          <w:w w:val="99"/>
          <w:kern w:val="0"/>
          <w:sz w:val="21"/>
          <w:szCs w:val="21"/>
          <w:highlight w:val="none"/>
          <w:lang w:val="zh-CN"/>
        </w:rPr>
        <w:t>8.重新招标和不再招标</w:t>
      </w:r>
      <w:bookmarkEnd w:id="171"/>
      <w:bookmarkEnd w:id="172"/>
      <w:bookmarkEnd w:id="173"/>
      <w:bookmarkEnd w:id="174"/>
    </w:p>
    <w:p w14:paraId="62CA35D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75" w:name="_Toc531594772"/>
      <w:bookmarkStart w:id="176" w:name="_Toc22330"/>
      <w:bookmarkStart w:id="177" w:name="_Toc334774205"/>
      <w:bookmarkStart w:id="178" w:name="_Toc200513170"/>
      <w:bookmarkStart w:id="179" w:name="_Toc317863465"/>
      <w:bookmarkStart w:id="180" w:name="_Toc325636623"/>
      <w:r>
        <w:rPr>
          <w:rFonts w:ascii="Times New Roman" w:hAnsi="Times New Roman" w:eastAsia="方正仿宋_GBK" w:cs="Times New Roman"/>
          <w:b/>
          <w:color w:val="auto"/>
          <w:kern w:val="0"/>
          <w:sz w:val="21"/>
          <w:szCs w:val="21"/>
          <w:highlight w:val="none"/>
        </w:rPr>
        <w:t>8.1 重新招标</w:t>
      </w:r>
      <w:bookmarkEnd w:id="175"/>
      <w:bookmarkEnd w:id="176"/>
      <w:bookmarkEnd w:id="177"/>
      <w:bookmarkEnd w:id="178"/>
      <w:bookmarkEnd w:id="179"/>
      <w:bookmarkEnd w:id="180"/>
    </w:p>
    <w:p w14:paraId="027FCCE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有下列情形之一的，招标人将重新招标</w:t>
      </w:r>
    </w:p>
    <w:p w14:paraId="7BE466F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（1）投标截止时间止，投标人少于三个的；</w:t>
      </w:r>
    </w:p>
    <w:p w14:paraId="044E587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按照我校招投标管理办法的相关规定执行。</w:t>
      </w:r>
    </w:p>
    <w:p w14:paraId="4CA586A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黑体_GBK" w:cs="Times New Roman"/>
          <w:b/>
          <w:color w:val="auto"/>
          <w:kern w:val="0"/>
          <w:sz w:val="21"/>
          <w:szCs w:val="21"/>
          <w:highlight w:val="none"/>
          <w:lang w:val="zh-CN"/>
        </w:rPr>
      </w:pPr>
      <w:r>
        <w:rPr>
          <w:rFonts w:ascii="Times New Roman" w:hAnsi="Times New Roman" w:eastAsia="方正仿宋_GBK" w:cs="Times New Roman"/>
          <w:b/>
          <w:color w:val="auto"/>
          <w:kern w:val="0"/>
          <w:sz w:val="21"/>
          <w:szCs w:val="21"/>
          <w:highlight w:val="none"/>
        </w:rPr>
        <w:t>8.2 不再招标</w:t>
      </w:r>
    </w:p>
    <w:p w14:paraId="052BAD4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eastAsia="zh-CN"/>
        </w:rPr>
      </w:pPr>
      <w:r>
        <w:rPr>
          <w:rFonts w:ascii="Times New Roman" w:hAnsi="Times New Roman" w:eastAsia="方正仿宋_GBK" w:cs="Times New Roman"/>
          <w:color w:val="auto"/>
          <w:kern w:val="0"/>
          <w:sz w:val="21"/>
          <w:szCs w:val="21"/>
          <w:highlight w:val="none"/>
        </w:rPr>
        <w:t>重新招标后投标人仍少于三个或者所有投标被否决的，</w:t>
      </w:r>
      <w:r>
        <w:rPr>
          <w:rFonts w:hint="eastAsia" w:ascii="Times New Roman" w:hAnsi="Times New Roman" w:eastAsia="方正仿宋_GBK" w:cs="Times New Roman"/>
          <w:color w:val="auto"/>
          <w:kern w:val="0"/>
          <w:sz w:val="21"/>
          <w:szCs w:val="21"/>
          <w:highlight w:val="none"/>
          <w:lang w:val="en-US" w:eastAsia="zh-CN"/>
        </w:rPr>
        <w:t>可不再招标，采取其他采购方式；</w:t>
      </w:r>
      <w:r>
        <w:rPr>
          <w:rFonts w:ascii="Times New Roman" w:hAnsi="Times New Roman" w:eastAsia="方正仿宋_GBK" w:cs="Times New Roman"/>
          <w:color w:val="auto"/>
          <w:kern w:val="0"/>
          <w:sz w:val="21"/>
          <w:szCs w:val="21"/>
          <w:highlight w:val="none"/>
        </w:rPr>
        <w:t>属于必须审批或核准的工程建设项目，经原审批或核准部门批准后不再进行招标。</w:t>
      </w:r>
    </w:p>
    <w:p w14:paraId="77A44DBE">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81" w:name="_Toc531594773"/>
      <w:bookmarkStart w:id="182" w:name="_Toc334774207"/>
      <w:bookmarkStart w:id="183" w:name="_Toc200513172"/>
      <w:bookmarkStart w:id="184" w:name="_Toc317863467"/>
      <w:bookmarkStart w:id="185" w:name="_Toc11895"/>
      <w:r>
        <w:rPr>
          <w:rFonts w:ascii="Times New Roman" w:hAnsi="Times New Roman" w:eastAsia="方正楷体_GBK" w:cs="Times New Roman"/>
          <w:b/>
          <w:color w:val="auto"/>
          <w:w w:val="99"/>
          <w:kern w:val="0"/>
          <w:sz w:val="21"/>
          <w:szCs w:val="21"/>
          <w:highlight w:val="none"/>
          <w:lang w:val="zh-CN"/>
        </w:rPr>
        <w:t>9.纪律和监督</w:t>
      </w:r>
      <w:bookmarkEnd w:id="181"/>
      <w:bookmarkEnd w:id="182"/>
      <w:bookmarkEnd w:id="183"/>
      <w:bookmarkEnd w:id="184"/>
      <w:bookmarkEnd w:id="185"/>
    </w:p>
    <w:p w14:paraId="75476C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ascii="Times New Roman" w:hAnsi="Times New Roman" w:eastAsia="方正仿宋_GBK" w:cs="Times New Roman"/>
          <w:b/>
          <w:color w:val="auto"/>
          <w:kern w:val="0"/>
          <w:sz w:val="21"/>
          <w:szCs w:val="21"/>
          <w:highlight w:val="none"/>
        </w:rPr>
      </w:pPr>
      <w:bookmarkStart w:id="186" w:name="_Toc317863468"/>
      <w:bookmarkStart w:id="187" w:name="_Toc325636626"/>
      <w:bookmarkStart w:id="188" w:name="_Toc1463"/>
      <w:bookmarkStart w:id="189" w:name="_Toc334774208"/>
      <w:bookmarkStart w:id="190" w:name="_Toc200513173"/>
      <w:bookmarkStart w:id="191" w:name="_Toc531594774"/>
      <w:r>
        <w:rPr>
          <w:rFonts w:ascii="Times New Roman" w:hAnsi="Times New Roman" w:eastAsia="方正仿宋_GBK" w:cs="Times New Roman"/>
          <w:b/>
          <w:color w:val="auto"/>
          <w:kern w:val="0"/>
          <w:sz w:val="21"/>
          <w:szCs w:val="21"/>
          <w:highlight w:val="none"/>
        </w:rPr>
        <w:t>9.1 对招标人的纪律要求</w:t>
      </w:r>
      <w:bookmarkEnd w:id="186"/>
      <w:bookmarkEnd w:id="187"/>
      <w:bookmarkEnd w:id="188"/>
      <w:bookmarkEnd w:id="189"/>
      <w:bookmarkEnd w:id="190"/>
      <w:bookmarkEnd w:id="191"/>
    </w:p>
    <w:p w14:paraId="5007577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招标人不得泄漏招标投标活动中应当保密的情况和资料，不得与投标人串通损害国家利益、社会公共利益或者他人合法权益。</w:t>
      </w:r>
    </w:p>
    <w:p w14:paraId="44B3B9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92" w:name="_Toc317863469"/>
      <w:bookmarkStart w:id="193" w:name="_Toc334774209"/>
      <w:bookmarkStart w:id="194" w:name="_Toc270"/>
      <w:bookmarkStart w:id="195" w:name="_Toc200513174"/>
      <w:bookmarkStart w:id="196" w:name="_Toc325636627"/>
      <w:bookmarkStart w:id="197" w:name="_Toc531594775"/>
      <w:r>
        <w:rPr>
          <w:rFonts w:ascii="Times New Roman" w:hAnsi="Times New Roman" w:eastAsia="方正仿宋_GBK" w:cs="Times New Roman"/>
          <w:b/>
          <w:color w:val="auto"/>
          <w:kern w:val="0"/>
          <w:sz w:val="21"/>
          <w:szCs w:val="21"/>
          <w:highlight w:val="none"/>
        </w:rPr>
        <w:t>9.2 对投标人的纪律要求</w:t>
      </w:r>
      <w:bookmarkEnd w:id="192"/>
      <w:bookmarkEnd w:id="193"/>
      <w:bookmarkEnd w:id="194"/>
      <w:bookmarkEnd w:id="195"/>
      <w:bookmarkEnd w:id="196"/>
      <w:bookmarkEnd w:id="197"/>
    </w:p>
    <w:p w14:paraId="3DE2A5C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AFE7C5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98" w:name="_Toc23543"/>
      <w:bookmarkStart w:id="199" w:name="_Toc317863470"/>
      <w:bookmarkStart w:id="200" w:name="_Toc531594776"/>
      <w:bookmarkStart w:id="201" w:name="_Toc325636628"/>
      <w:bookmarkStart w:id="202" w:name="_Toc334774210"/>
      <w:bookmarkStart w:id="203" w:name="_Toc200513175"/>
      <w:r>
        <w:rPr>
          <w:rFonts w:ascii="Times New Roman" w:hAnsi="Times New Roman" w:eastAsia="方正仿宋_GBK" w:cs="Times New Roman"/>
          <w:b/>
          <w:color w:val="auto"/>
          <w:kern w:val="0"/>
          <w:sz w:val="21"/>
          <w:szCs w:val="21"/>
          <w:highlight w:val="none"/>
        </w:rPr>
        <w:t>9.3 对评标委员会成员的纪律要求</w:t>
      </w:r>
      <w:bookmarkEnd w:id="198"/>
      <w:bookmarkEnd w:id="199"/>
      <w:bookmarkEnd w:id="200"/>
      <w:bookmarkEnd w:id="201"/>
      <w:bookmarkEnd w:id="202"/>
      <w:bookmarkEnd w:id="203"/>
    </w:p>
    <w:p w14:paraId="4FF3EB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5BA4DA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04" w:name="_Toc531594777"/>
      <w:bookmarkStart w:id="205" w:name="_Toc325636629"/>
      <w:bookmarkStart w:id="206" w:name="_Toc334774211"/>
      <w:bookmarkStart w:id="207" w:name="_Toc200513176"/>
      <w:bookmarkStart w:id="208" w:name="_Toc317863471"/>
      <w:bookmarkStart w:id="209" w:name="_Toc18783"/>
      <w:bookmarkStart w:id="210" w:name="_Toc13285"/>
      <w:r>
        <w:rPr>
          <w:rFonts w:ascii="Times New Roman" w:hAnsi="Times New Roman" w:eastAsia="方正仿宋_GBK" w:cs="Times New Roman"/>
          <w:b/>
          <w:color w:val="auto"/>
          <w:kern w:val="0"/>
          <w:sz w:val="21"/>
          <w:szCs w:val="21"/>
          <w:highlight w:val="none"/>
        </w:rPr>
        <w:t>9.4 对与评标活动有关的工作人员的纪律要求</w:t>
      </w:r>
      <w:bookmarkEnd w:id="204"/>
      <w:bookmarkEnd w:id="205"/>
      <w:bookmarkEnd w:id="206"/>
      <w:bookmarkEnd w:id="207"/>
      <w:bookmarkEnd w:id="208"/>
      <w:bookmarkEnd w:id="209"/>
      <w:bookmarkEnd w:id="210"/>
    </w:p>
    <w:p w14:paraId="5E5DA4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497AC9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11" w:name="_Toc17360"/>
      <w:bookmarkStart w:id="212" w:name="_Toc531594778"/>
      <w:bookmarkStart w:id="213" w:name="_Toc317863472"/>
      <w:bookmarkStart w:id="214" w:name="_Toc325636630"/>
      <w:bookmarkStart w:id="215" w:name="_Toc200513177"/>
      <w:bookmarkStart w:id="216" w:name="_Toc334774212"/>
      <w:bookmarkStart w:id="217" w:name="_Toc13124"/>
      <w:r>
        <w:rPr>
          <w:rFonts w:ascii="Times New Roman" w:hAnsi="Times New Roman" w:eastAsia="方正仿宋_GBK" w:cs="Times New Roman"/>
          <w:b/>
          <w:color w:val="auto"/>
          <w:kern w:val="0"/>
          <w:sz w:val="21"/>
          <w:szCs w:val="21"/>
          <w:highlight w:val="none"/>
        </w:rPr>
        <w:t>9.5 投诉</w:t>
      </w:r>
      <w:bookmarkEnd w:id="211"/>
      <w:bookmarkEnd w:id="212"/>
      <w:bookmarkEnd w:id="213"/>
      <w:bookmarkEnd w:id="214"/>
      <w:bookmarkEnd w:id="215"/>
      <w:bookmarkEnd w:id="216"/>
      <w:bookmarkEnd w:id="217"/>
    </w:p>
    <w:p w14:paraId="069DEC7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投标人和其他利害关系人认为本次招标活动违反法律、法规和规章规定的，有权向学院有关行政监督部门投诉。</w:t>
      </w:r>
    </w:p>
    <w:p w14:paraId="73853CE9">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218" w:name="_Toc14201"/>
      <w:bookmarkStart w:id="219" w:name="_Toc531594779"/>
      <w:bookmarkStart w:id="220" w:name="_Toc6107"/>
      <w:bookmarkStart w:id="221" w:name="_Toc334774213"/>
      <w:r>
        <w:rPr>
          <w:rFonts w:ascii="Times New Roman" w:hAnsi="Times New Roman" w:eastAsia="方正楷体_GBK" w:cs="Times New Roman"/>
          <w:b/>
          <w:color w:val="auto"/>
          <w:w w:val="99"/>
          <w:kern w:val="0"/>
          <w:sz w:val="21"/>
          <w:szCs w:val="21"/>
          <w:highlight w:val="none"/>
          <w:lang w:val="zh-CN"/>
        </w:rPr>
        <w:t>10.其他</w:t>
      </w:r>
      <w:bookmarkEnd w:id="218"/>
      <w:bookmarkEnd w:id="219"/>
      <w:bookmarkEnd w:id="220"/>
      <w:bookmarkEnd w:id="221"/>
    </w:p>
    <w:p w14:paraId="597EB2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其他补充内容要求见投标人需知内容和前附表。</w:t>
      </w:r>
    </w:p>
    <w:p w14:paraId="6CA11B81">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color w:val="auto"/>
          <w:kern w:val="0"/>
          <w:sz w:val="32"/>
          <w:szCs w:val="32"/>
          <w:highlight w:val="none"/>
        </w:rPr>
      </w:pPr>
    </w:p>
    <w:p w14:paraId="7BA925C9">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color w:val="auto"/>
          <w:kern w:val="0"/>
          <w:sz w:val="32"/>
          <w:szCs w:val="32"/>
          <w:highlight w:val="none"/>
        </w:rPr>
      </w:pPr>
    </w:p>
    <w:p w14:paraId="231B8F06">
      <w:pPr>
        <w:keepNext w:val="0"/>
        <w:keepLines w:val="0"/>
        <w:pageBreakBefore w:val="0"/>
        <w:widowControl w:val="0"/>
        <w:kinsoku/>
        <w:wordWrap/>
        <w:overflowPunct/>
        <w:topLinePunct w:val="0"/>
        <w:bidi w:val="0"/>
        <w:spacing w:line="240" w:lineRule="exact"/>
        <w:textAlignment w:val="auto"/>
        <w:rPr>
          <w:rFonts w:ascii="Times New Roman" w:hAnsi="Times New Roman" w:eastAsia="方正仿宋_GBK" w:cs="Times New Roman"/>
          <w:color w:val="auto"/>
          <w:kern w:val="0"/>
          <w:sz w:val="32"/>
          <w:szCs w:val="32"/>
          <w:highlight w:val="none"/>
        </w:rPr>
      </w:pPr>
      <w:r>
        <w:rPr>
          <w:rFonts w:ascii="Times New Roman" w:hAnsi="Times New Roman" w:eastAsia="方正仿宋_GBK" w:cs="Times New Roman"/>
          <w:color w:val="auto"/>
          <w:kern w:val="0"/>
          <w:sz w:val="32"/>
          <w:szCs w:val="32"/>
          <w:highlight w:val="none"/>
        </w:rPr>
        <w:br w:type="page"/>
      </w:r>
    </w:p>
    <w:p w14:paraId="04A98490">
      <w:pPr>
        <w:pStyle w:val="2"/>
        <w:numPr>
          <w:ilvl w:val="0"/>
          <w:numId w:val="0"/>
        </w:numPr>
        <w:spacing w:before="0" w:after="0" w:line="600" w:lineRule="exact"/>
        <w:ind w:firstLine="880" w:firstLineChars="200"/>
        <w:jc w:val="center"/>
        <w:rPr>
          <w:rFonts w:hint="default" w:ascii="Times New Roman" w:hAnsi="Times New Roman" w:eastAsia="方正小标宋_GBK" w:cs="Times New Roman"/>
          <w:color w:val="auto"/>
          <w:highlight w:val="none"/>
        </w:rPr>
      </w:pPr>
      <w:bookmarkStart w:id="222" w:name="_Toc10725332"/>
      <w:bookmarkStart w:id="223" w:name="_第三章 招标数量及参数要求"/>
      <w:r>
        <w:rPr>
          <w:rFonts w:hint="default" w:ascii="Times New Roman" w:hAnsi="Times New Roman" w:eastAsia="方正小标宋_GBK" w:cs="Times New Roman"/>
          <w:color w:val="auto"/>
          <w:highlight w:val="none"/>
        </w:rPr>
        <w:t>第三章 招标数量及参数要求</w:t>
      </w:r>
      <w:bookmarkEnd w:id="222"/>
    </w:p>
    <w:bookmarkEnd w:id="223"/>
    <w:p w14:paraId="5C707FB5">
      <w:pPr>
        <w:rPr>
          <w:color w:val="auto"/>
          <w:highlight w:val="none"/>
        </w:rPr>
      </w:pPr>
    </w:p>
    <w:p w14:paraId="39C9B4EE">
      <w:pPr>
        <w:spacing w:line="600" w:lineRule="exact"/>
        <w:jc w:val="left"/>
        <w:rPr>
          <w:rFonts w:ascii="Times New Roman" w:hAnsi="Times New Roman" w:eastAsia="方正黑体_GBK" w:cs="Times New Roman"/>
          <w:b/>
          <w:color w:val="auto"/>
          <w:sz w:val="32"/>
          <w:szCs w:val="32"/>
          <w:highlight w:val="none"/>
        </w:rPr>
      </w:pPr>
      <w:r>
        <w:rPr>
          <w:rFonts w:ascii="Times New Roman" w:hAnsi="Times New Roman" w:eastAsia="方正黑体_GBK" w:cs="Times New Roman"/>
          <w:b/>
          <w:color w:val="auto"/>
          <w:sz w:val="32"/>
          <w:szCs w:val="32"/>
          <w:highlight w:val="none"/>
        </w:rPr>
        <w:t>一、</w:t>
      </w:r>
      <w:r>
        <w:rPr>
          <w:rFonts w:hint="eastAsia" w:ascii="Times New Roman" w:hAnsi="Times New Roman" w:eastAsia="方正黑体_GBK" w:cs="Times New Roman"/>
          <w:b/>
          <w:color w:val="auto"/>
          <w:sz w:val="32"/>
          <w:szCs w:val="32"/>
          <w:highlight w:val="none"/>
        </w:rPr>
        <w:t>项目名称及数量</w:t>
      </w:r>
    </w:p>
    <w:tbl>
      <w:tblPr>
        <w:tblStyle w:val="42"/>
        <w:tblW w:w="502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9"/>
        <w:gridCol w:w="4697"/>
        <w:gridCol w:w="1726"/>
        <w:gridCol w:w="1727"/>
      </w:tblGrid>
      <w:tr w14:paraId="199EA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9" w:type="pct"/>
            <w:tcBorders>
              <w:top w:val="single" w:color="000000" w:sz="4" w:space="0"/>
              <w:left w:val="single" w:color="000000" w:sz="4" w:space="0"/>
              <w:bottom w:val="single" w:color="000000" w:sz="4" w:space="0"/>
              <w:right w:val="single" w:color="000000" w:sz="4" w:space="0"/>
            </w:tcBorders>
            <w:vAlign w:val="center"/>
          </w:tcPr>
          <w:p w14:paraId="53AD6745">
            <w:pPr>
              <w:spacing w:line="360" w:lineRule="atLeast"/>
              <w:jc w:val="center"/>
              <w:rPr>
                <w:rFonts w:ascii="宋体" w:hAnsi="宋体" w:cs="宋体"/>
                <w:b/>
                <w:color w:val="auto"/>
                <w:sz w:val="21"/>
                <w:szCs w:val="21"/>
                <w:highlight w:val="none"/>
              </w:rPr>
            </w:pPr>
            <w:r>
              <w:rPr>
                <w:rFonts w:hint="eastAsia" w:ascii="宋体" w:hAnsi="宋体" w:cs="宋体"/>
                <w:b/>
                <w:color w:val="auto"/>
                <w:sz w:val="21"/>
                <w:szCs w:val="21"/>
                <w:highlight w:val="none"/>
              </w:rPr>
              <w:t>序号</w:t>
            </w:r>
          </w:p>
        </w:tc>
        <w:tc>
          <w:tcPr>
            <w:tcW w:w="2536" w:type="pct"/>
            <w:tcBorders>
              <w:top w:val="single" w:color="000000" w:sz="4" w:space="0"/>
              <w:left w:val="single" w:color="000000" w:sz="4" w:space="0"/>
              <w:bottom w:val="single" w:color="000000" w:sz="4" w:space="0"/>
              <w:right w:val="single" w:color="000000" w:sz="4" w:space="0"/>
            </w:tcBorders>
            <w:vAlign w:val="center"/>
          </w:tcPr>
          <w:p w14:paraId="212812BF">
            <w:pPr>
              <w:spacing w:line="360" w:lineRule="atLeast"/>
              <w:jc w:val="center"/>
              <w:rPr>
                <w:rFonts w:ascii="宋体" w:hAnsi="宋体" w:cs="宋体"/>
                <w:b/>
                <w:color w:val="auto"/>
                <w:sz w:val="21"/>
                <w:szCs w:val="21"/>
                <w:highlight w:val="none"/>
              </w:rPr>
            </w:pPr>
            <w:r>
              <w:rPr>
                <w:rFonts w:hint="eastAsia" w:ascii="宋体" w:hAnsi="宋体" w:cs="宋体"/>
                <w:b/>
                <w:color w:val="auto"/>
                <w:sz w:val="21"/>
                <w:szCs w:val="21"/>
                <w:highlight w:val="none"/>
              </w:rPr>
              <w:t>名称</w:t>
            </w:r>
          </w:p>
        </w:tc>
        <w:tc>
          <w:tcPr>
            <w:tcW w:w="932" w:type="pct"/>
            <w:tcBorders>
              <w:top w:val="single" w:color="000000" w:sz="4" w:space="0"/>
              <w:left w:val="single" w:color="000000" w:sz="4" w:space="0"/>
              <w:bottom w:val="single" w:color="000000" w:sz="4" w:space="0"/>
              <w:right w:val="single" w:color="auto" w:sz="4" w:space="0"/>
            </w:tcBorders>
            <w:vAlign w:val="center"/>
          </w:tcPr>
          <w:p w14:paraId="2F20E05E">
            <w:pPr>
              <w:spacing w:line="360" w:lineRule="atLeast"/>
              <w:jc w:val="center"/>
              <w:rPr>
                <w:rFonts w:ascii="宋体" w:hAnsi="宋体" w:cs="宋体"/>
                <w:b/>
                <w:color w:val="auto"/>
                <w:sz w:val="21"/>
                <w:szCs w:val="21"/>
                <w:highlight w:val="none"/>
              </w:rPr>
            </w:pPr>
            <w:r>
              <w:rPr>
                <w:rFonts w:hint="eastAsia" w:ascii="宋体" w:hAnsi="宋体" w:cs="宋体"/>
                <w:b/>
                <w:color w:val="auto"/>
                <w:sz w:val="21"/>
                <w:szCs w:val="21"/>
                <w:highlight w:val="none"/>
              </w:rPr>
              <w:t>数量</w:t>
            </w:r>
          </w:p>
        </w:tc>
        <w:tc>
          <w:tcPr>
            <w:tcW w:w="932" w:type="pct"/>
            <w:tcBorders>
              <w:top w:val="single" w:color="000000" w:sz="4" w:space="0"/>
              <w:left w:val="single" w:color="000000" w:sz="4" w:space="0"/>
              <w:bottom w:val="single" w:color="000000" w:sz="4" w:space="0"/>
              <w:right w:val="single" w:color="auto" w:sz="4" w:space="0"/>
            </w:tcBorders>
          </w:tcPr>
          <w:p w14:paraId="69141C5F">
            <w:pPr>
              <w:spacing w:line="360" w:lineRule="atLeast"/>
              <w:jc w:val="center"/>
              <w:rPr>
                <w:rFonts w:ascii="宋体" w:hAnsi="宋体" w:cs="宋体"/>
                <w:b/>
                <w:color w:val="auto"/>
                <w:sz w:val="21"/>
                <w:szCs w:val="21"/>
                <w:highlight w:val="none"/>
              </w:rPr>
            </w:pPr>
            <w:r>
              <w:rPr>
                <w:rFonts w:hint="eastAsia" w:ascii="宋体" w:hAnsi="宋体" w:cs="宋体"/>
                <w:b/>
                <w:color w:val="auto"/>
                <w:sz w:val="21"/>
                <w:szCs w:val="21"/>
                <w:highlight w:val="none"/>
              </w:rPr>
              <w:t>备注</w:t>
            </w:r>
          </w:p>
        </w:tc>
      </w:tr>
      <w:tr w14:paraId="61A76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99" w:type="pct"/>
            <w:tcBorders>
              <w:top w:val="single" w:color="000000" w:sz="4" w:space="0"/>
              <w:left w:val="single" w:color="000000" w:sz="4" w:space="0"/>
              <w:bottom w:val="single" w:color="000000" w:sz="4" w:space="0"/>
              <w:right w:val="single" w:color="000000" w:sz="4" w:space="0"/>
            </w:tcBorders>
            <w:vAlign w:val="center"/>
          </w:tcPr>
          <w:p w14:paraId="2E1DABD9">
            <w:pPr>
              <w:spacing w:line="360" w:lineRule="atLeast"/>
              <w:jc w:val="center"/>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2536" w:type="pct"/>
            <w:tcBorders>
              <w:top w:val="single" w:color="000000" w:sz="4" w:space="0"/>
              <w:left w:val="single" w:color="000000" w:sz="4" w:space="0"/>
              <w:bottom w:val="single" w:color="000000" w:sz="4" w:space="0"/>
              <w:right w:val="single" w:color="000000" w:sz="4" w:space="0"/>
            </w:tcBorders>
            <w:vAlign w:val="center"/>
          </w:tcPr>
          <w:p w14:paraId="14BF8416">
            <w:pPr>
              <w:spacing w:line="360" w:lineRule="atLeast"/>
              <w:jc w:val="center"/>
              <w:rPr>
                <w:rFonts w:ascii="宋体" w:hAnsi="宋体" w:cs="宋体"/>
                <w:color w:val="auto"/>
                <w:sz w:val="21"/>
                <w:szCs w:val="21"/>
                <w:highlight w:val="none"/>
              </w:rPr>
            </w:pPr>
            <w:r>
              <w:rPr>
                <w:rFonts w:hint="eastAsia" w:ascii="宋体" w:hAnsi="宋体" w:cs="宋体"/>
                <w:color w:val="auto"/>
                <w:sz w:val="21"/>
                <w:szCs w:val="21"/>
                <w:highlight w:val="none"/>
              </w:rPr>
              <w:t>大数据审计分析教学平台</w:t>
            </w:r>
          </w:p>
        </w:tc>
        <w:tc>
          <w:tcPr>
            <w:tcW w:w="932" w:type="pct"/>
            <w:tcBorders>
              <w:top w:val="single" w:color="000000" w:sz="4" w:space="0"/>
              <w:left w:val="single" w:color="000000" w:sz="4" w:space="0"/>
              <w:bottom w:val="single" w:color="000000" w:sz="4" w:space="0"/>
              <w:right w:val="single" w:color="auto" w:sz="4" w:space="0"/>
            </w:tcBorders>
            <w:vAlign w:val="center"/>
          </w:tcPr>
          <w:p w14:paraId="1E43C0CC">
            <w:pPr>
              <w:spacing w:line="360" w:lineRule="atLeast"/>
              <w:jc w:val="center"/>
              <w:rPr>
                <w:rFonts w:ascii="宋体" w:hAnsi="宋体" w:cs="宋体"/>
                <w:color w:val="auto"/>
                <w:sz w:val="21"/>
                <w:szCs w:val="21"/>
                <w:highlight w:val="none"/>
              </w:rPr>
            </w:pPr>
            <w:r>
              <w:rPr>
                <w:rFonts w:hint="eastAsia" w:ascii="宋体" w:hAnsi="宋体" w:cs="宋体"/>
                <w:color w:val="auto"/>
                <w:sz w:val="21"/>
                <w:szCs w:val="21"/>
                <w:highlight w:val="none"/>
              </w:rPr>
              <w:t>1套</w:t>
            </w:r>
          </w:p>
        </w:tc>
        <w:tc>
          <w:tcPr>
            <w:tcW w:w="932" w:type="pct"/>
            <w:tcBorders>
              <w:top w:val="single" w:color="000000" w:sz="4" w:space="0"/>
              <w:left w:val="single" w:color="000000" w:sz="4" w:space="0"/>
              <w:bottom w:val="single" w:color="000000" w:sz="4" w:space="0"/>
              <w:right w:val="single" w:color="auto" w:sz="4" w:space="0"/>
            </w:tcBorders>
          </w:tcPr>
          <w:p w14:paraId="7C6FA271">
            <w:pPr>
              <w:spacing w:line="360" w:lineRule="atLeast"/>
              <w:jc w:val="center"/>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160</w:t>
            </w:r>
            <w:r>
              <w:rPr>
                <w:rFonts w:hint="eastAsia" w:ascii="宋体" w:hAnsi="宋体" w:cs="宋体"/>
                <w:color w:val="auto"/>
                <w:sz w:val="21"/>
                <w:szCs w:val="21"/>
                <w:highlight w:val="none"/>
              </w:rPr>
              <w:t>站点</w:t>
            </w:r>
          </w:p>
        </w:tc>
      </w:tr>
    </w:tbl>
    <w:p w14:paraId="2CB98FE0">
      <w:pPr>
        <w:widowControl/>
        <w:numPr>
          <w:ilvl w:val="0"/>
          <w:numId w:val="10"/>
        </w:numPr>
        <w:spacing w:line="520" w:lineRule="exact"/>
        <w:jc w:val="left"/>
        <w:rPr>
          <w:rFonts w:hint="eastAsia" w:ascii="Times New Roman" w:hAnsi="Times New Roman" w:eastAsia="方正黑体_GBK" w:cs="Times New Roman"/>
          <w:b/>
          <w:color w:val="auto"/>
          <w:sz w:val="32"/>
          <w:szCs w:val="32"/>
          <w:highlight w:val="none"/>
        </w:rPr>
      </w:pPr>
      <w:r>
        <w:rPr>
          <w:rFonts w:hint="eastAsia" w:ascii="Times New Roman" w:hAnsi="Times New Roman" w:eastAsia="方正黑体_GBK" w:cs="Times New Roman"/>
          <w:b/>
          <w:color w:val="auto"/>
          <w:sz w:val="32"/>
          <w:szCs w:val="32"/>
          <w:highlight w:val="none"/>
        </w:rPr>
        <w:t>技术要求</w:t>
      </w:r>
    </w:p>
    <w:tbl>
      <w:tblPr>
        <w:tblStyle w:val="4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9"/>
        <w:gridCol w:w="856"/>
        <w:gridCol w:w="7622"/>
      </w:tblGrid>
      <w:tr w14:paraId="659C2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01" w:type="pct"/>
            <w:tcBorders>
              <w:top w:val="single" w:color="000000" w:sz="4" w:space="0"/>
              <w:left w:val="single" w:color="000000" w:sz="4" w:space="0"/>
              <w:bottom w:val="single" w:color="000000" w:sz="4" w:space="0"/>
              <w:right w:val="single" w:color="000000" w:sz="4" w:space="0"/>
            </w:tcBorders>
            <w:vAlign w:val="center"/>
          </w:tcPr>
          <w:p w14:paraId="2C8A40DA">
            <w:pPr>
              <w:spacing w:line="520" w:lineRule="exac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464" w:type="pct"/>
            <w:tcBorders>
              <w:top w:val="single" w:color="000000" w:sz="4" w:space="0"/>
              <w:left w:val="single" w:color="000000" w:sz="4" w:space="0"/>
              <w:bottom w:val="single" w:color="000000" w:sz="4" w:space="0"/>
              <w:right w:val="single" w:color="000000" w:sz="4" w:space="0"/>
            </w:tcBorders>
            <w:vAlign w:val="center"/>
          </w:tcPr>
          <w:p w14:paraId="4EE6AC15">
            <w:pPr>
              <w:spacing w:line="520" w:lineRule="exact"/>
              <w:jc w:val="center"/>
              <w:rPr>
                <w:rFonts w:hint="eastAsia" w:ascii="宋体" w:hAnsi="宋体"/>
                <w:b/>
                <w:color w:val="auto"/>
                <w:szCs w:val="21"/>
                <w:highlight w:val="none"/>
              </w:rPr>
            </w:pPr>
            <w:r>
              <w:rPr>
                <w:rFonts w:hint="eastAsia" w:ascii="宋体" w:hAnsi="宋体"/>
                <w:b/>
                <w:color w:val="auto"/>
                <w:szCs w:val="21"/>
                <w:highlight w:val="none"/>
              </w:rPr>
              <w:t>名称</w:t>
            </w:r>
          </w:p>
        </w:tc>
        <w:tc>
          <w:tcPr>
            <w:tcW w:w="4133" w:type="pct"/>
            <w:tcBorders>
              <w:top w:val="single" w:color="000000" w:sz="4" w:space="0"/>
              <w:left w:val="single" w:color="000000" w:sz="4" w:space="0"/>
              <w:bottom w:val="single" w:color="000000" w:sz="4" w:space="0"/>
              <w:right w:val="single" w:color="auto" w:sz="4" w:space="0"/>
            </w:tcBorders>
            <w:vAlign w:val="center"/>
          </w:tcPr>
          <w:p w14:paraId="02648703">
            <w:pPr>
              <w:spacing w:line="520" w:lineRule="exact"/>
              <w:jc w:val="center"/>
              <w:rPr>
                <w:rFonts w:hint="eastAsia" w:ascii="宋体" w:hAnsi="宋体"/>
                <w:b/>
                <w:color w:val="auto"/>
                <w:szCs w:val="21"/>
                <w:highlight w:val="none"/>
              </w:rPr>
            </w:pPr>
            <w:r>
              <w:rPr>
                <w:rFonts w:hint="eastAsia" w:ascii="宋体" w:hAnsi="宋体"/>
                <w:bCs/>
                <w:color w:val="auto"/>
                <w:szCs w:val="21"/>
                <w:highlight w:val="none"/>
              </w:rPr>
              <w:t>技术参数</w:t>
            </w:r>
          </w:p>
        </w:tc>
      </w:tr>
      <w:tr w14:paraId="26378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01" w:type="pct"/>
            <w:tcBorders>
              <w:top w:val="single" w:color="000000" w:sz="4" w:space="0"/>
              <w:left w:val="single" w:color="000000" w:sz="4" w:space="0"/>
              <w:bottom w:val="single" w:color="000000" w:sz="4" w:space="0"/>
              <w:right w:val="single" w:color="000000" w:sz="4" w:space="0"/>
            </w:tcBorders>
            <w:vAlign w:val="center"/>
          </w:tcPr>
          <w:p w14:paraId="32C4C942">
            <w:pPr>
              <w:spacing w:line="520" w:lineRule="exact"/>
              <w:jc w:val="center"/>
              <w:rPr>
                <w:rFonts w:hint="eastAsia" w:ascii="宋体" w:hAnsi="宋体"/>
                <w:b/>
                <w:color w:val="auto"/>
                <w:szCs w:val="21"/>
                <w:highlight w:val="none"/>
              </w:rPr>
            </w:pPr>
            <w:r>
              <w:rPr>
                <w:rFonts w:hint="eastAsia" w:ascii="宋体" w:hAnsi="宋体"/>
                <w:bCs/>
                <w:color w:val="auto"/>
                <w:szCs w:val="21"/>
                <w:highlight w:val="none"/>
              </w:rPr>
              <w:t>1</w:t>
            </w:r>
          </w:p>
        </w:tc>
        <w:tc>
          <w:tcPr>
            <w:tcW w:w="464" w:type="pct"/>
            <w:tcBorders>
              <w:top w:val="single" w:color="000000" w:sz="4" w:space="0"/>
              <w:left w:val="single" w:color="000000" w:sz="4" w:space="0"/>
              <w:bottom w:val="single" w:color="000000" w:sz="4" w:space="0"/>
              <w:right w:val="single" w:color="000000" w:sz="4" w:space="0"/>
            </w:tcBorders>
            <w:vAlign w:val="center"/>
          </w:tcPr>
          <w:p w14:paraId="4269BB2C">
            <w:pPr>
              <w:spacing w:line="520" w:lineRule="exact"/>
              <w:jc w:val="center"/>
              <w:rPr>
                <w:rFonts w:hint="eastAsia" w:ascii="宋体" w:hAnsi="宋体"/>
                <w:b/>
                <w:color w:val="auto"/>
                <w:szCs w:val="21"/>
                <w:highlight w:val="none"/>
              </w:rPr>
            </w:pPr>
            <w:r>
              <w:rPr>
                <w:rFonts w:hint="eastAsia" w:ascii="宋体" w:hAnsi="宋体"/>
                <w:color w:val="auto"/>
                <w:szCs w:val="21"/>
                <w:highlight w:val="none"/>
              </w:rPr>
              <w:t>大数据审计分析教学平台</w:t>
            </w:r>
          </w:p>
        </w:tc>
        <w:tc>
          <w:tcPr>
            <w:tcW w:w="4133" w:type="pct"/>
            <w:tcBorders>
              <w:top w:val="single" w:color="000000" w:sz="4" w:space="0"/>
              <w:left w:val="single" w:color="000000" w:sz="4" w:space="0"/>
              <w:bottom w:val="single" w:color="000000" w:sz="4" w:space="0"/>
              <w:right w:val="single" w:color="auto" w:sz="4" w:space="0"/>
            </w:tcBorders>
            <w:vAlign w:val="center"/>
          </w:tcPr>
          <w:p w14:paraId="6D3E6AC9">
            <w:pPr>
              <w:spacing w:line="520" w:lineRule="exact"/>
              <w:rPr>
                <w:rFonts w:hint="eastAsia" w:ascii="宋体" w:hAnsi="宋体"/>
                <w:bCs/>
                <w:color w:val="auto"/>
                <w:szCs w:val="21"/>
                <w:highlight w:val="none"/>
              </w:rPr>
            </w:pPr>
            <w:r>
              <w:rPr>
                <w:rFonts w:hint="eastAsia" w:ascii="宋体" w:hAnsi="宋体"/>
                <w:bCs/>
                <w:color w:val="auto"/>
                <w:szCs w:val="21"/>
                <w:highlight w:val="none"/>
              </w:rPr>
              <w:t>（一）代码编辑器</w:t>
            </w:r>
          </w:p>
          <w:p w14:paraId="0E939F21">
            <w:pPr>
              <w:spacing w:line="520" w:lineRule="exact"/>
              <w:rPr>
                <w:rFonts w:hint="eastAsia" w:ascii="宋体" w:hAnsi="宋体"/>
                <w:bCs/>
                <w:color w:val="auto"/>
                <w:szCs w:val="21"/>
                <w:highlight w:val="none"/>
              </w:rPr>
            </w:pPr>
            <w:r>
              <w:rPr>
                <w:rFonts w:hint="eastAsia" w:ascii="宋体" w:hAnsi="宋体"/>
                <w:bCs/>
                <w:color w:val="auto"/>
                <w:szCs w:val="21"/>
                <w:highlight w:val="none"/>
              </w:rPr>
              <w:t>1.由公司自主研发，属于国产产品，符合主流文本编辑器使用习惯。</w:t>
            </w:r>
          </w:p>
          <w:p w14:paraId="504C5D13">
            <w:pPr>
              <w:spacing w:line="520" w:lineRule="exact"/>
              <w:rPr>
                <w:rFonts w:hint="eastAsia" w:ascii="宋体" w:hAnsi="宋体"/>
                <w:bCs/>
                <w:color w:val="auto"/>
                <w:szCs w:val="21"/>
                <w:highlight w:val="none"/>
              </w:rPr>
            </w:pPr>
            <w:r>
              <w:rPr>
                <w:rFonts w:hint="eastAsia" w:ascii="宋体" w:hAnsi="宋体"/>
                <w:bCs/>
                <w:color w:val="auto"/>
                <w:szCs w:val="21"/>
                <w:highlight w:val="none"/>
              </w:rPr>
              <w:t>2.无需搭建环境，可在教学平台直接打开使用，免去繁琐安装环节。打开即可使用，支持语法高亮、代码自动补全、实时代码，数学方程，可视化。</w:t>
            </w:r>
          </w:p>
          <w:p w14:paraId="1C9B8290">
            <w:pPr>
              <w:spacing w:line="520" w:lineRule="exact"/>
              <w:rPr>
                <w:rFonts w:hint="eastAsia" w:ascii="宋体" w:hAnsi="宋体"/>
                <w:bCs/>
                <w:color w:val="auto"/>
                <w:szCs w:val="21"/>
                <w:highlight w:val="none"/>
              </w:rPr>
            </w:pPr>
            <w:r>
              <w:rPr>
                <w:rFonts w:hint="eastAsia" w:ascii="宋体" w:hAnsi="宋体"/>
                <w:color w:val="auto"/>
                <w:szCs w:val="21"/>
                <w:highlight w:val="none"/>
              </w:rPr>
              <w:t>★</w:t>
            </w:r>
            <w:r>
              <w:rPr>
                <w:rFonts w:hint="eastAsia" w:ascii="宋体" w:hAnsi="宋体"/>
                <w:bCs/>
                <w:color w:val="auto"/>
                <w:szCs w:val="21"/>
                <w:highlight w:val="none"/>
              </w:rPr>
              <w:t>3.平台支持在网页上直接运行Python程序，可自定义编写Python代码并运行，包括但不限于数据清洗、数据集成、数据可视化、数据转换、数值模拟、统计建模、机器学习等功能。代码模式分为4块区域：引导说明区、目录文件操作区、文件操作区、运行结果展示区。支持左右屏展示操作步骤及代码编辑区域，并可拖拽调节左右区域位置大小。目录文件操作区可以通过“添加”、“重命名”、“删除”、“刷新”、“重置”按钮进行操作，支持文件下载功能；文件操作区包含运行脚本、终止运行脚本、重置并恢复预置脚本、清空当前脚本、保存脚本、提交、下载脚本功能。运行结果展示区展示错误提示，及print的内容结果。可实现代码甄别，对学生提交的任务代码进行自动判分。</w:t>
            </w:r>
          </w:p>
          <w:p w14:paraId="14EC8DEE">
            <w:pPr>
              <w:spacing w:line="520" w:lineRule="exact"/>
              <w:rPr>
                <w:rFonts w:hint="eastAsia" w:ascii="宋体" w:hAnsi="宋体"/>
                <w:bCs/>
                <w:color w:val="auto"/>
                <w:szCs w:val="21"/>
                <w:highlight w:val="none"/>
              </w:rPr>
            </w:pPr>
            <w:r>
              <w:rPr>
                <w:rFonts w:hint="eastAsia" w:ascii="宋体" w:hAnsi="宋体"/>
                <w:color w:val="auto"/>
                <w:szCs w:val="21"/>
                <w:highlight w:val="none"/>
              </w:rPr>
              <w:t>4</w:t>
            </w:r>
            <w:r>
              <w:rPr>
                <w:rFonts w:hint="eastAsia" w:ascii="宋体" w:hAnsi="宋体"/>
                <w:bCs/>
                <w:color w:val="auto"/>
                <w:szCs w:val="21"/>
                <w:highlight w:val="none"/>
              </w:rPr>
              <w:t>.支持“积木模式”，积木模式包含显示字符串内容、数字变量、字符变量、列表类型变量、元祖类型变量、字典类型变量、集合类型变量、数学运算、数字格式、数字类型转换、字符串与字符串拼接、变量与变量拼接、输出列表变量、输出元祖变量、输出字典变量、数据变量、代码注释积木等应用。</w:t>
            </w:r>
          </w:p>
          <w:p w14:paraId="520D9F1A">
            <w:pPr>
              <w:spacing w:line="520" w:lineRule="exact"/>
              <w:jc w:val="left"/>
              <w:rPr>
                <w:rFonts w:hint="eastAsia" w:ascii="宋体" w:hAnsi="宋体"/>
                <w:bCs/>
                <w:color w:val="auto"/>
                <w:szCs w:val="21"/>
                <w:highlight w:val="none"/>
              </w:rPr>
            </w:pPr>
            <w:r>
              <w:rPr>
                <w:rFonts w:hint="eastAsia" w:ascii="宋体" w:hAnsi="宋体"/>
                <w:color w:val="auto"/>
                <w:szCs w:val="21"/>
                <w:highlight w:val="none"/>
              </w:rPr>
              <w:t>★5</w:t>
            </w:r>
            <w:r>
              <w:rPr>
                <w:rFonts w:hint="eastAsia" w:ascii="宋体" w:hAnsi="宋体"/>
                <w:bCs/>
                <w:color w:val="auto"/>
                <w:szCs w:val="21"/>
                <w:highlight w:val="none"/>
              </w:rPr>
              <w:t>.支持上传文件，格式包含：.csv， .xlsx， .xls，.png， .jpg，.gif，txt，.pdf， .doc， .docx， .ppt, .mp4， .ttf， .html， .json ， .py （单个文件不能超过10M）。</w:t>
            </w:r>
          </w:p>
          <w:p w14:paraId="6F9D98C3">
            <w:pPr>
              <w:spacing w:line="520" w:lineRule="exact"/>
              <w:rPr>
                <w:rFonts w:hint="eastAsia" w:ascii="宋体" w:hAnsi="宋体"/>
                <w:bCs/>
                <w:color w:val="auto"/>
                <w:szCs w:val="21"/>
                <w:highlight w:val="none"/>
              </w:rPr>
            </w:pPr>
            <w:r>
              <w:rPr>
                <w:rFonts w:hint="eastAsia" w:ascii="宋体" w:hAnsi="宋体"/>
                <w:bCs/>
                <w:color w:val="auto"/>
                <w:szCs w:val="21"/>
                <w:highlight w:val="none"/>
              </w:rPr>
              <w:t>6.支持代码脚本导入及导出。支持直接复制文件路径。支持终端运行结果输出图片、excel等。支持终端可直接输出超链接并在线预览。支持新建HTML文件。支持在线预览HTML文件、CSV文件、图片（PNG、JPG、GIF等）。</w:t>
            </w:r>
          </w:p>
          <w:p w14:paraId="0BFA5566">
            <w:pPr>
              <w:spacing w:line="520" w:lineRule="exact"/>
              <w:rPr>
                <w:rFonts w:hint="eastAsia" w:ascii="宋体" w:hAnsi="宋体"/>
                <w:bCs/>
                <w:color w:val="auto"/>
                <w:szCs w:val="21"/>
                <w:highlight w:val="none"/>
              </w:rPr>
            </w:pPr>
            <w:r>
              <w:rPr>
                <w:rFonts w:hint="eastAsia" w:ascii="宋体" w:hAnsi="宋体"/>
                <w:bCs/>
                <w:color w:val="auto"/>
                <w:szCs w:val="21"/>
                <w:highlight w:val="none"/>
              </w:rPr>
              <w:t>14.编辑区可根据对应文件类型自动代码提示、代码高亮。支持响应式交互，运行input函数等。支持运行SQL数据库。</w:t>
            </w:r>
          </w:p>
          <w:p w14:paraId="1DAAD48B">
            <w:pPr>
              <w:spacing w:line="520" w:lineRule="exact"/>
              <w:rPr>
                <w:rFonts w:hint="eastAsia" w:ascii="宋体" w:hAnsi="宋体"/>
                <w:bCs/>
                <w:color w:val="auto"/>
                <w:szCs w:val="21"/>
                <w:highlight w:val="none"/>
              </w:rPr>
            </w:pPr>
            <w:r>
              <w:rPr>
                <w:rFonts w:hint="eastAsia" w:ascii="宋体" w:hAnsi="宋体"/>
                <w:bCs/>
                <w:color w:val="auto"/>
                <w:szCs w:val="21"/>
                <w:highlight w:val="none"/>
              </w:rPr>
              <w:t>（二）数据挖掘工具</w:t>
            </w:r>
          </w:p>
          <w:p w14:paraId="3DA88B99">
            <w:pPr>
              <w:spacing w:line="520" w:lineRule="exact"/>
              <w:rPr>
                <w:rFonts w:hint="eastAsia" w:ascii="宋体" w:hAnsi="宋体"/>
                <w:bCs/>
                <w:color w:val="auto"/>
                <w:szCs w:val="21"/>
                <w:highlight w:val="none"/>
              </w:rPr>
            </w:pPr>
            <w:r>
              <w:rPr>
                <w:rFonts w:hint="eastAsia" w:ascii="宋体" w:hAnsi="宋体"/>
                <w:bCs/>
                <w:color w:val="auto"/>
                <w:szCs w:val="21"/>
                <w:highlight w:val="none"/>
              </w:rPr>
              <w:t>1.本系统采用任务流式处理设计，其默认流程为一个预设的线性序列：数据源选择-模型配置-模型构建-预测数据选择-预测执行。在该流式非闭环模式下，所有数据挖掘任务必须严格依序进行，不可跳过或逆序执行。</w:t>
            </w:r>
          </w:p>
          <w:p w14:paraId="060041C8">
            <w:pPr>
              <w:spacing w:line="520" w:lineRule="exact"/>
              <w:rPr>
                <w:rFonts w:hint="eastAsia" w:ascii="宋体" w:hAnsi="宋体"/>
                <w:bCs/>
                <w:color w:val="auto"/>
                <w:szCs w:val="21"/>
                <w:highlight w:val="none"/>
              </w:rPr>
            </w:pPr>
            <w:r>
              <w:rPr>
                <w:rFonts w:hint="eastAsia" w:ascii="宋体" w:hAnsi="宋体"/>
                <w:bCs/>
                <w:color w:val="auto"/>
                <w:szCs w:val="21"/>
                <w:highlight w:val="none"/>
              </w:rPr>
              <w:t>2.内置机器学习算法库。有监督学习包括：回归分析多元回归算法、逻辑回归算法，分类分析朴素贝叶斯算法、决策树算法，文本分析，无监督学习包括：聚类分析K-Means，降维分析PCA算法。</w:t>
            </w:r>
          </w:p>
          <w:p w14:paraId="52E836EC">
            <w:pPr>
              <w:spacing w:line="520" w:lineRule="exact"/>
              <w:rPr>
                <w:rFonts w:hint="eastAsia" w:ascii="宋体" w:hAnsi="宋体"/>
                <w:bCs/>
                <w:color w:val="auto"/>
                <w:szCs w:val="21"/>
                <w:highlight w:val="none"/>
              </w:rPr>
            </w:pPr>
            <w:r>
              <w:rPr>
                <w:rFonts w:hint="eastAsia" w:ascii="宋体" w:hAnsi="宋体"/>
                <w:bCs/>
                <w:color w:val="auto"/>
                <w:szCs w:val="21"/>
                <w:highlight w:val="none"/>
              </w:rPr>
              <w:t>3.支持学生基于选用的模型进行参数配置和调整。支持添加多个自变量，并可设置按比例随机抽选训练集与测试集。</w:t>
            </w:r>
          </w:p>
          <w:p w14:paraId="318FEE73">
            <w:pPr>
              <w:spacing w:line="520" w:lineRule="exact"/>
              <w:rPr>
                <w:rFonts w:hint="eastAsia" w:ascii="宋体" w:hAnsi="宋体"/>
                <w:bCs/>
                <w:color w:val="auto"/>
                <w:szCs w:val="21"/>
                <w:highlight w:val="none"/>
              </w:rPr>
            </w:pPr>
            <w:r>
              <w:rPr>
                <w:rFonts w:hint="eastAsia" w:ascii="宋体" w:hAnsi="宋体"/>
                <w:bCs/>
                <w:color w:val="auto"/>
                <w:szCs w:val="21"/>
                <w:highlight w:val="none"/>
              </w:rPr>
              <w:t>4.支持在当前页面查看预测结果数据预览，预览数据条数用户可自行调整。</w:t>
            </w:r>
          </w:p>
          <w:p w14:paraId="79BB8F23">
            <w:pPr>
              <w:spacing w:line="520" w:lineRule="exact"/>
              <w:rPr>
                <w:rFonts w:hint="eastAsia" w:ascii="宋体" w:hAnsi="宋体"/>
                <w:bCs/>
                <w:color w:val="auto"/>
                <w:szCs w:val="21"/>
                <w:highlight w:val="none"/>
              </w:rPr>
            </w:pPr>
            <w:r>
              <w:rPr>
                <w:rFonts w:hint="eastAsia" w:ascii="宋体" w:hAnsi="宋体"/>
                <w:bCs/>
                <w:color w:val="auto"/>
                <w:szCs w:val="21"/>
                <w:highlight w:val="none"/>
              </w:rPr>
              <w:t>5.支持用户自行下载模型质量数据报告以及预测完成的数据到本地。</w:t>
            </w:r>
          </w:p>
          <w:p w14:paraId="2B6F17FE">
            <w:pPr>
              <w:spacing w:line="520" w:lineRule="exact"/>
              <w:rPr>
                <w:rFonts w:hint="eastAsia" w:ascii="宋体" w:hAnsi="宋体"/>
                <w:bCs/>
                <w:color w:val="auto"/>
                <w:szCs w:val="21"/>
                <w:highlight w:val="none"/>
              </w:rPr>
            </w:pPr>
            <w:r>
              <w:rPr>
                <w:rFonts w:hint="eastAsia" w:ascii="宋体" w:hAnsi="宋体"/>
                <w:bCs/>
                <w:color w:val="auto"/>
                <w:szCs w:val="21"/>
                <w:highlight w:val="none"/>
              </w:rPr>
              <w:t>（三）RPA设计器</w:t>
            </w:r>
          </w:p>
          <w:p w14:paraId="5FF842DD">
            <w:pPr>
              <w:spacing w:line="520" w:lineRule="exact"/>
              <w:rPr>
                <w:rFonts w:hint="eastAsia" w:ascii="宋体" w:hAnsi="宋体"/>
                <w:bCs/>
                <w:color w:val="auto"/>
                <w:szCs w:val="21"/>
                <w:highlight w:val="none"/>
              </w:rPr>
            </w:pPr>
            <w:r>
              <w:rPr>
                <w:rFonts w:hint="eastAsia" w:ascii="宋体" w:hAnsi="宋体"/>
                <w:bCs/>
                <w:color w:val="auto"/>
                <w:szCs w:val="21"/>
                <w:highlight w:val="none"/>
              </w:rPr>
              <w:t>1.通过RPA开发能实现对各种应用的自动化，可以在无需改造原有系统的基础上，依据设定的程序完成特定的工作任务，替代繁琐和重复的事务性工作。</w:t>
            </w:r>
          </w:p>
          <w:p w14:paraId="5229FF16">
            <w:pPr>
              <w:spacing w:line="520" w:lineRule="exact"/>
              <w:rPr>
                <w:rFonts w:hint="eastAsia" w:ascii="宋体" w:hAnsi="宋体"/>
                <w:bCs/>
                <w:color w:val="auto"/>
                <w:szCs w:val="21"/>
                <w:highlight w:val="none"/>
              </w:rPr>
            </w:pPr>
            <w:r>
              <w:rPr>
                <w:rFonts w:hint="eastAsia" w:ascii="宋体" w:hAnsi="宋体"/>
                <w:bCs/>
                <w:color w:val="auto"/>
                <w:szCs w:val="21"/>
                <w:highlight w:val="none"/>
              </w:rPr>
              <w:t>2.平台无缝集成：通过教学管理平台中的教学任务可直接跳转到RPA设计器登录页面。</w:t>
            </w:r>
          </w:p>
          <w:p w14:paraId="302BD0ED">
            <w:pPr>
              <w:spacing w:line="520" w:lineRule="exact"/>
              <w:rPr>
                <w:rFonts w:hint="eastAsia" w:ascii="宋体" w:hAnsi="宋体"/>
                <w:bCs/>
                <w:color w:val="auto"/>
                <w:szCs w:val="21"/>
                <w:highlight w:val="none"/>
              </w:rPr>
            </w:pPr>
            <w:r>
              <w:rPr>
                <w:rFonts w:hint="eastAsia" w:ascii="宋体" w:hAnsi="宋体"/>
                <w:bCs/>
                <w:color w:val="auto"/>
                <w:szCs w:val="21"/>
                <w:highlight w:val="none"/>
              </w:rPr>
              <w:t>3.国产化：中国自主品牌的RPA开发软件，符合信创国产化趋势，能够满足院校教学需求。</w:t>
            </w:r>
          </w:p>
          <w:p w14:paraId="1BFAD716">
            <w:pPr>
              <w:spacing w:line="520" w:lineRule="exact"/>
              <w:rPr>
                <w:rFonts w:hint="eastAsia" w:ascii="宋体" w:hAnsi="宋体"/>
                <w:bCs/>
                <w:color w:val="auto"/>
                <w:szCs w:val="21"/>
                <w:highlight w:val="none"/>
              </w:rPr>
            </w:pPr>
            <w:r>
              <w:rPr>
                <w:rFonts w:hint="eastAsia" w:ascii="宋体" w:hAnsi="宋体"/>
                <w:bCs/>
                <w:color w:val="auto"/>
                <w:szCs w:val="21"/>
                <w:highlight w:val="none"/>
              </w:rPr>
              <w:t>（四）仿真商业平台</w:t>
            </w:r>
          </w:p>
          <w:p w14:paraId="011A294F">
            <w:pPr>
              <w:spacing w:line="520" w:lineRule="exact"/>
              <w:rPr>
                <w:rFonts w:hint="eastAsia" w:ascii="宋体" w:hAnsi="宋体"/>
                <w:bCs/>
                <w:color w:val="auto"/>
                <w:szCs w:val="21"/>
                <w:highlight w:val="none"/>
              </w:rPr>
            </w:pPr>
            <w:r>
              <w:rPr>
                <w:rFonts w:hint="eastAsia" w:ascii="宋体" w:hAnsi="宋体"/>
                <w:color w:val="auto"/>
                <w:szCs w:val="21"/>
                <w:highlight w:val="none"/>
              </w:rPr>
              <w:t>★</w:t>
            </w:r>
            <w:r>
              <w:rPr>
                <w:rFonts w:hint="eastAsia" w:ascii="宋体" w:hAnsi="宋体"/>
                <w:bCs/>
                <w:color w:val="auto"/>
                <w:szCs w:val="21"/>
                <w:highlight w:val="none"/>
              </w:rPr>
              <w:t>1.支持案例企业在仿真函证平台上创建项目，并依序完成以下全流程操作：导入函证数据、生成标准化电子询证函、施加电子签章、向被函证方发出函件、收取并管理回函，以及查询全流程的区块链溯源信息。</w:t>
            </w:r>
          </w:p>
          <w:p w14:paraId="63AF65A8">
            <w:pPr>
              <w:spacing w:line="520" w:lineRule="exact"/>
              <w:rPr>
                <w:rFonts w:hint="eastAsia" w:ascii="宋体" w:hAnsi="宋体"/>
                <w:bCs/>
                <w:color w:val="auto"/>
                <w:szCs w:val="21"/>
                <w:highlight w:val="none"/>
              </w:rPr>
            </w:pPr>
            <w:r>
              <w:rPr>
                <w:rFonts w:hint="eastAsia" w:ascii="宋体" w:hAnsi="宋体"/>
                <w:bCs/>
                <w:color w:val="auto"/>
                <w:szCs w:val="21"/>
                <w:highlight w:val="none"/>
              </w:rPr>
              <w:t>2.提供本平台仿真国家企业信用公示系统和仿真物流查询系统信息的API调用接口，可通过Python代码实现信息获取。</w:t>
            </w:r>
          </w:p>
          <w:p w14:paraId="5ADBD372">
            <w:pPr>
              <w:spacing w:line="520" w:lineRule="exact"/>
              <w:rPr>
                <w:rFonts w:hint="eastAsia" w:ascii="宋体" w:hAnsi="宋体"/>
                <w:bCs/>
                <w:color w:val="auto"/>
                <w:szCs w:val="21"/>
                <w:highlight w:val="none"/>
              </w:rPr>
            </w:pPr>
            <w:r>
              <w:rPr>
                <w:rFonts w:hint="eastAsia" w:ascii="宋体" w:hAnsi="宋体"/>
                <w:bCs/>
                <w:color w:val="auto"/>
                <w:szCs w:val="21"/>
                <w:highlight w:val="none"/>
              </w:rPr>
              <w:t>3.支持在查企业平台中对案例企业及其客户之间的关联关系筛查，以可视化图形的方式展示，可对图形进行缩放、对节点进行拖拽，可导出图片。</w:t>
            </w:r>
          </w:p>
          <w:p w14:paraId="3E4B938E">
            <w:pPr>
              <w:spacing w:line="520" w:lineRule="exact"/>
              <w:rPr>
                <w:rFonts w:hint="eastAsia" w:ascii="宋体" w:hAnsi="宋体"/>
                <w:bCs/>
                <w:color w:val="auto"/>
                <w:szCs w:val="21"/>
                <w:highlight w:val="none"/>
              </w:rPr>
            </w:pPr>
            <w:r>
              <w:rPr>
                <w:rFonts w:hint="eastAsia" w:ascii="宋体" w:hAnsi="宋体"/>
                <w:color w:val="auto"/>
                <w:szCs w:val="21"/>
                <w:highlight w:val="none"/>
              </w:rPr>
              <w:t>★</w:t>
            </w:r>
            <w:r>
              <w:rPr>
                <w:rFonts w:hint="eastAsia" w:ascii="宋体" w:hAnsi="宋体"/>
                <w:bCs/>
                <w:color w:val="auto"/>
                <w:szCs w:val="21"/>
                <w:highlight w:val="none"/>
              </w:rPr>
              <w:t>4.系统支持可查询300多家案例数据所涉及公司的基本信息及其信用情况。</w:t>
            </w:r>
          </w:p>
          <w:p w14:paraId="746891F0">
            <w:pPr>
              <w:spacing w:line="520" w:lineRule="exact"/>
              <w:rPr>
                <w:rFonts w:hint="eastAsia" w:ascii="宋体" w:hAnsi="宋体"/>
                <w:bCs/>
                <w:color w:val="auto"/>
                <w:szCs w:val="21"/>
                <w:highlight w:val="none"/>
              </w:rPr>
            </w:pPr>
            <w:r>
              <w:rPr>
                <w:rFonts w:hint="eastAsia" w:ascii="宋体" w:hAnsi="宋体"/>
                <w:bCs/>
                <w:color w:val="auto"/>
                <w:szCs w:val="21"/>
                <w:highlight w:val="none"/>
              </w:rPr>
              <w:t>5.仿真平台中可查询案例企业上千份销售订单的物流信息，包括寄方信息、收方信息、货物信息、物流状态等20多个字段信息，支持RPA访问和API调用相关信息。</w:t>
            </w:r>
          </w:p>
          <w:p w14:paraId="6AB39ED8">
            <w:pPr>
              <w:spacing w:line="520" w:lineRule="exact"/>
              <w:rPr>
                <w:rFonts w:hint="eastAsia" w:ascii="宋体" w:hAnsi="宋体"/>
                <w:bCs/>
                <w:color w:val="auto"/>
                <w:szCs w:val="21"/>
                <w:highlight w:val="none"/>
              </w:rPr>
            </w:pPr>
            <w:r>
              <w:rPr>
                <w:rFonts w:hint="eastAsia" w:ascii="宋体" w:hAnsi="宋体"/>
                <w:bCs/>
                <w:color w:val="auto"/>
                <w:szCs w:val="21"/>
                <w:highlight w:val="none"/>
              </w:rPr>
              <w:t>6.系统支持学生创建流程画布，绘制业务流程图，输入流程的输入与输出信息，并对流程完整性进行校验，可保存并导出流程画布。</w:t>
            </w:r>
          </w:p>
          <w:p w14:paraId="07E1ABA6">
            <w:pPr>
              <w:spacing w:line="520" w:lineRule="exact"/>
              <w:rPr>
                <w:rFonts w:hint="eastAsia" w:ascii="宋体" w:hAnsi="宋体"/>
                <w:bCs/>
                <w:color w:val="auto"/>
                <w:szCs w:val="21"/>
                <w:highlight w:val="none"/>
              </w:rPr>
            </w:pPr>
            <w:r>
              <w:rPr>
                <w:rFonts w:hint="eastAsia" w:ascii="宋体" w:hAnsi="宋体"/>
                <w:bCs/>
                <w:color w:val="auto"/>
                <w:szCs w:val="21"/>
                <w:highlight w:val="none"/>
              </w:rPr>
              <w:t>7.系统内置各项目数据源，可进行数据预览。提供可视化主题配色样例、可视化背景板样例，提供国内外主要数据资源网站基本信息，提供常用文本编辑器基本信息。</w:t>
            </w:r>
          </w:p>
          <w:p w14:paraId="7782B759">
            <w:pPr>
              <w:spacing w:line="520" w:lineRule="exact"/>
              <w:rPr>
                <w:rFonts w:hint="eastAsia" w:ascii="宋体" w:hAnsi="宋体"/>
                <w:bCs/>
                <w:color w:val="auto"/>
                <w:szCs w:val="21"/>
                <w:highlight w:val="none"/>
              </w:rPr>
            </w:pPr>
            <w:r>
              <w:rPr>
                <w:rFonts w:hint="eastAsia" w:ascii="宋体" w:hAnsi="宋体"/>
                <w:bCs/>
                <w:color w:val="auto"/>
                <w:szCs w:val="21"/>
                <w:highlight w:val="none"/>
              </w:rPr>
              <w:t>（五）教学平台功能参数</w:t>
            </w:r>
          </w:p>
          <w:p w14:paraId="6CC0CC70">
            <w:pPr>
              <w:spacing w:line="520" w:lineRule="exact"/>
              <w:rPr>
                <w:rFonts w:hint="eastAsia" w:ascii="宋体" w:hAnsi="宋体"/>
                <w:bCs/>
                <w:color w:val="auto"/>
                <w:szCs w:val="21"/>
                <w:highlight w:val="none"/>
              </w:rPr>
            </w:pPr>
            <w:r>
              <w:rPr>
                <w:rFonts w:hint="eastAsia" w:ascii="宋体" w:hAnsi="宋体"/>
                <w:color w:val="auto"/>
                <w:szCs w:val="21"/>
                <w:highlight w:val="none"/>
              </w:rPr>
              <w:t>★</w:t>
            </w:r>
            <w:r>
              <w:rPr>
                <w:rFonts w:hint="eastAsia" w:ascii="宋体" w:hAnsi="宋体"/>
                <w:bCs/>
                <w:color w:val="auto"/>
                <w:szCs w:val="21"/>
                <w:highlight w:val="none"/>
              </w:rPr>
              <w:t>1.平台应具备课程简介、本章简介、训练计划、思维导图、课程图谱、能力图谱、公告等模块，可通过自由模式、闯关模式、课程图谱、能力图谱等不少于4种方式开展教学；图谱分析模块能够基于知识图谱、能力图谱分析学生进度、掌握度、达标率等情况。应提供教师整个教学班综合情况，包含但不限于学习概况、教学成果、学生掌握度进度分布、学习时长和学习进度排行等，其中掌握度进度分布需使用散点图表示，方便教师查看分布高频区域。应能分析课程能力画像，通过雷达图展示当前班级平均能力掌握情况与本课要求的能力掌握对比，并可查看学生掌握度排行及详细个人报告。应能进行班级职业匹配分析，展示班级学生匹配度较高的职业，并展示该职业岗位职责、对应的能力要求及班级学生的匹配度。</w:t>
            </w:r>
          </w:p>
          <w:p w14:paraId="3B6FCF50">
            <w:pPr>
              <w:spacing w:line="520" w:lineRule="exact"/>
              <w:rPr>
                <w:rFonts w:hint="eastAsia" w:ascii="宋体" w:hAnsi="宋体"/>
                <w:bCs/>
                <w:color w:val="auto"/>
                <w:szCs w:val="21"/>
                <w:highlight w:val="none"/>
              </w:rPr>
            </w:pPr>
            <w:r>
              <w:rPr>
                <w:rFonts w:hint="eastAsia" w:ascii="宋体" w:hAnsi="宋体"/>
                <w:color w:val="auto"/>
                <w:szCs w:val="21"/>
                <w:highlight w:val="none"/>
              </w:rPr>
              <w:t>★</w:t>
            </w:r>
            <w:r>
              <w:rPr>
                <w:rFonts w:hint="eastAsia" w:ascii="宋体" w:hAnsi="宋体"/>
                <w:bCs/>
                <w:color w:val="auto"/>
                <w:szCs w:val="21"/>
                <w:highlight w:val="none"/>
              </w:rPr>
              <w:t>2.应具备人才能力模型与能力图谱模块。应预置不少于七类数智化人才能力模型，在实验项目开发时可进行模型中的能力项的引用。应能通过课程图谱的方式进行学习，应能通过基于旭日图方式呈现的能力图谱学习；应能满足学生学习某个知识点或能力项时，通过至少三种方式进行学习，包含通过实践掌握能力、通过资源学习知识、通过测验检验知识；应能在进入图谱时获得开始学习指引；所学习的内容应该包含不少于10种类型，包含实践任务、画布任务、文案任务、AI实训任务、思考任务、作业、团队成果、视频、课件、交互式课件、富文本、网页链接、测验、仿真题库等；</w:t>
            </w:r>
          </w:p>
          <w:p w14:paraId="4B70F5D2">
            <w:pPr>
              <w:spacing w:line="520" w:lineRule="exact"/>
              <w:rPr>
                <w:rFonts w:hint="eastAsia" w:ascii="宋体" w:hAnsi="宋体"/>
                <w:bCs/>
                <w:color w:val="auto"/>
                <w:szCs w:val="21"/>
                <w:highlight w:val="none"/>
              </w:rPr>
            </w:pPr>
            <w:r>
              <w:rPr>
                <w:rFonts w:hint="eastAsia" w:ascii="宋体" w:hAnsi="宋体"/>
                <w:bCs/>
                <w:color w:val="auto"/>
                <w:szCs w:val="21"/>
                <w:highlight w:val="none"/>
              </w:rPr>
              <w:t>二、课程模块功能指标</w:t>
            </w:r>
          </w:p>
          <w:p w14:paraId="47935740">
            <w:pPr>
              <w:spacing w:line="520" w:lineRule="exact"/>
              <w:rPr>
                <w:rFonts w:hint="eastAsia" w:ascii="宋体" w:hAnsi="宋体"/>
                <w:bCs/>
                <w:color w:val="auto"/>
                <w:szCs w:val="21"/>
                <w:highlight w:val="none"/>
              </w:rPr>
            </w:pPr>
            <w:r>
              <w:rPr>
                <w:rFonts w:hint="eastAsia" w:ascii="宋体" w:hAnsi="宋体"/>
                <w:bCs/>
                <w:color w:val="auto"/>
                <w:szCs w:val="21"/>
                <w:highlight w:val="none"/>
              </w:rPr>
              <w:t>1.大数据审计分析相关知识体系</w:t>
            </w:r>
          </w:p>
          <w:p w14:paraId="7A87038B">
            <w:pPr>
              <w:spacing w:line="520" w:lineRule="exact"/>
              <w:rPr>
                <w:rFonts w:hint="eastAsia" w:ascii="宋体" w:hAnsi="宋体"/>
                <w:bCs/>
                <w:color w:val="auto"/>
                <w:szCs w:val="21"/>
                <w:highlight w:val="none"/>
              </w:rPr>
            </w:pPr>
            <w:r>
              <w:rPr>
                <w:rFonts w:hint="eastAsia" w:ascii="宋体" w:hAnsi="宋体"/>
                <w:bCs/>
                <w:color w:val="auto"/>
                <w:szCs w:val="21"/>
                <w:highlight w:val="none"/>
              </w:rPr>
              <w:t>包含大数据审计的发展、概念、基本理论，及大数据技术在审计中的典型应用场景。使学生了解大数据审计的前沿发展趋势，能够思辨的探讨审计理论的发展方向。</w:t>
            </w:r>
          </w:p>
          <w:p w14:paraId="289FEEC6">
            <w:pPr>
              <w:spacing w:line="520" w:lineRule="exact"/>
              <w:rPr>
                <w:rFonts w:hint="eastAsia" w:ascii="宋体" w:hAnsi="宋体"/>
                <w:bCs/>
                <w:color w:val="auto"/>
                <w:szCs w:val="21"/>
                <w:highlight w:val="none"/>
              </w:rPr>
            </w:pPr>
            <w:r>
              <w:rPr>
                <w:rFonts w:hint="eastAsia" w:ascii="宋体" w:hAnsi="宋体"/>
                <w:bCs/>
                <w:color w:val="auto"/>
                <w:szCs w:val="21"/>
                <w:highlight w:val="none"/>
              </w:rPr>
              <w:t>2.学习大数据审计分析技术与工具</w:t>
            </w:r>
          </w:p>
          <w:p w14:paraId="1A97DE66">
            <w:pPr>
              <w:spacing w:line="520" w:lineRule="exact"/>
              <w:rPr>
                <w:rFonts w:hint="eastAsia" w:ascii="宋体" w:hAnsi="宋体"/>
                <w:bCs/>
                <w:color w:val="auto"/>
                <w:szCs w:val="21"/>
                <w:highlight w:val="none"/>
              </w:rPr>
            </w:pPr>
            <w:r>
              <w:rPr>
                <w:rFonts w:hint="eastAsia" w:ascii="宋体" w:hAnsi="宋体"/>
                <w:bCs/>
                <w:color w:val="auto"/>
                <w:szCs w:val="21"/>
                <w:highlight w:val="none"/>
              </w:rPr>
              <w:t>学习大数据审计的应用关键的技术与工具，SQL、Python与RPA构成了三大支柱。SQL作为数据库查询语言，通过语句直接从数据库中提取和整合审计数据。Python作为一种脚本语言，利用其pandas等库和if、for等控制流语句，执行复杂的数据清洗、分析与建模任务。而RPA则通过模拟用户操作的可配置脚本或指令，实现报告生成、跨系统核对等流程的自动化，有效提升审计效率。</w:t>
            </w:r>
          </w:p>
          <w:p w14:paraId="4F3BB8EF">
            <w:pPr>
              <w:spacing w:line="520" w:lineRule="exact"/>
              <w:rPr>
                <w:rFonts w:hint="eastAsia" w:ascii="宋体" w:hAnsi="宋体"/>
                <w:bCs/>
                <w:color w:val="auto"/>
                <w:szCs w:val="21"/>
                <w:highlight w:val="none"/>
              </w:rPr>
            </w:pPr>
            <w:r>
              <w:rPr>
                <w:rFonts w:hint="eastAsia" w:ascii="宋体" w:hAnsi="宋体"/>
                <w:bCs/>
                <w:color w:val="auto"/>
                <w:szCs w:val="21"/>
                <w:highlight w:val="none"/>
              </w:rPr>
              <w:t>3.大数据审计分析技术与工具练习</w:t>
            </w:r>
          </w:p>
          <w:p w14:paraId="41328669">
            <w:pPr>
              <w:spacing w:line="520" w:lineRule="exact"/>
              <w:rPr>
                <w:rFonts w:hint="eastAsia" w:ascii="宋体" w:hAnsi="宋体"/>
                <w:bCs/>
                <w:color w:val="auto"/>
                <w:szCs w:val="21"/>
                <w:highlight w:val="none"/>
              </w:rPr>
            </w:pPr>
            <w:r>
              <w:rPr>
                <w:rFonts w:hint="eastAsia" w:ascii="宋体" w:hAnsi="宋体"/>
                <w:bCs/>
                <w:color w:val="auto"/>
                <w:szCs w:val="21"/>
                <w:highlight w:val="none"/>
              </w:rPr>
              <w:t>通过简单的操作演示及操作练习，使学生快速了解SQL语言、Python语言及RPA常用命令，掌握其基本语法规则及基本语句。</w:t>
            </w:r>
          </w:p>
          <w:p w14:paraId="4A5B3EF7">
            <w:pPr>
              <w:spacing w:line="520" w:lineRule="exact"/>
              <w:rPr>
                <w:rFonts w:hint="eastAsia" w:ascii="宋体" w:hAnsi="宋体"/>
                <w:bCs/>
                <w:color w:val="auto"/>
                <w:szCs w:val="21"/>
                <w:highlight w:val="none"/>
              </w:rPr>
            </w:pPr>
            <w:r>
              <w:rPr>
                <w:rFonts w:hint="eastAsia" w:ascii="宋体" w:hAnsi="宋体"/>
                <w:bCs/>
                <w:color w:val="auto"/>
                <w:szCs w:val="21"/>
                <w:highlight w:val="none"/>
              </w:rPr>
              <w:t>4.初步业务活动学习-舆情分析</w:t>
            </w:r>
          </w:p>
          <w:p w14:paraId="298B54E3">
            <w:pPr>
              <w:spacing w:line="520" w:lineRule="exact"/>
              <w:rPr>
                <w:rFonts w:hint="eastAsia" w:ascii="宋体" w:hAnsi="宋体"/>
                <w:bCs/>
                <w:color w:val="auto"/>
                <w:szCs w:val="21"/>
                <w:highlight w:val="none"/>
              </w:rPr>
            </w:pPr>
            <w:r>
              <w:rPr>
                <w:rFonts w:hint="eastAsia" w:ascii="宋体" w:hAnsi="宋体"/>
                <w:bCs/>
                <w:color w:val="auto"/>
                <w:szCs w:val="21"/>
                <w:highlight w:val="none"/>
              </w:rPr>
              <w:t>本项目通过真实审计案例，引导学生认识舆情重要性及其与审计的关系。学生将基于审计目标设计执行方案，运用文本挖掘技术处理非结构化数据，学习jieba分词、主题分析与语义网络解读。通过词频统计和语义网络分析股民评论，梳理观点态度，并利用可视化技术（如折线图、词云图、可视化大屏等）生成舆情分析报告，培养学生对非结构化数据的挖掘与分析能力。</w:t>
            </w:r>
          </w:p>
          <w:p w14:paraId="6144430F">
            <w:pPr>
              <w:spacing w:line="520" w:lineRule="exact"/>
              <w:rPr>
                <w:rFonts w:hint="eastAsia" w:ascii="宋体" w:hAnsi="宋体"/>
                <w:bCs/>
                <w:color w:val="auto"/>
                <w:szCs w:val="21"/>
                <w:highlight w:val="none"/>
              </w:rPr>
            </w:pPr>
            <w:r>
              <w:rPr>
                <w:rFonts w:hint="eastAsia" w:ascii="宋体" w:hAnsi="宋体"/>
                <w:bCs/>
                <w:color w:val="auto"/>
                <w:szCs w:val="21"/>
                <w:highlight w:val="none"/>
              </w:rPr>
              <w:t>★5.聚类分析基础</w:t>
            </w:r>
          </w:p>
          <w:p w14:paraId="12CD71F1">
            <w:pPr>
              <w:spacing w:line="520" w:lineRule="exact"/>
              <w:rPr>
                <w:rFonts w:hint="eastAsia" w:ascii="宋体" w:hAnsi="宋体"/>
                <w:bCs/>
                <w:color w:val="auto"/>
                <w:szCs w:val="21"/>
                <w:highlight w:val="none"/>
              </w:rPr>
            </w:pPr>
            <w:r>
              <w:rPr>
                <w:rFonts w:hint="eastAsia" w:ascii="宋体" w:hAnsi="宋体"/>
                <w:bCs/>
                <w:color w:val="auto"/>
                <w:szCs w:val="21"/>
                <w:highlight w:val="none"/>
              </w:rPr>
              <w:t>介绍聚类分析概念及常用距离、常用的聚类分析方法，使学生掌握聚类分析技术的基础知识及审计典型应用场景。</w:t>
            </w:r>
          </w:p>
          <w:p w14:paraId="6E98D5B5">
            <w:pPr>
              <w:spacing w:line="520" w:lineRule="exact"/>
              <w:rPr>
                <w:rFonts w:hint="eastAsia" w:ascii="宋体" w:hAnsi="宋体"/>
                <w:bCs/>
                <w:color w:val="auto"/>
                <w:szCs w:val="21"/>
                <w:highlight w:val="none"/>
              </w:rPr>
            </w:pPr>
            <w:r>
              <w:rPr>
                <w:rFonts w:hint="eastAsia" w:ascii="宋体" w:hAnsi="宋体"/>
                <w:bCs/>
                <w:color w:val="auto"/>
                <w:szCs w:val="21"/>
                <w:highlight w:val="none"/>
              </w:rPr>
              <w:t>6.风险评估分析程序全流程实现</w:t>
            </w:r>
          </w:p>
          <w:p w14:paraId="784B7291">
            <w:pPr>
              <w:spacing w:line="520" w:lineRule="exact"/>
              <w:rPr>
                <w:rFonts w:hint="eastAsia" w:ascii="宋体" w:hAnsi="宋体"/>
                <w:bCs/>
                <w:color w:val="auto"/>
                <w:szCs w:val="21"/>
                <w:highlight w:val="none"/>
              </w:rPr>
            </w:pPr>
            <w:r>
              <w:rPr>
                <w:rFonts w:hint="eastAsia" w:ascii="宋体" w:hAnsi="宋体"/>
                <w:bCs/>
                <w:color w:val="auto"/>
                <w:szCs w:val="21"/>
                <w:highlight w:val="none"/>
              </w:rPr>
              <w:t>学习如何应用大数据技术于审计风险评估。通过案例学习应用聚类算法对财务指标相似的上市公司进行自动分类，快速定位被审计单位可比公司，提升分析效率。课程结合可视化技术与趋势分析等方法，对行业、可比公司及被审计单位数据进行综合研判，以识别重大错报风险。旨在培养学生设计大数据应用方案、生成风险评估报告及指引进一步审计程序的能力。</w:t>
            </w:r>
          </w:p>
          <w:p w14:paraId="01772196">
            <w:pPr>
              <w:spacing w:line="520" w:lineRule="exact"/>
              <w:rPr>
                <w:rFonts w:hint="eastAsia" w:ascii="宋体" w:hAnsi="宋体"/>
                <w:bCs/>
                <w:color w:val="auto"/>
                <w:szCs w:val="21"/>
                <w:highlight w:val="none"/>
              </w:rPr>
            </w:pPr>
            <w:r>
              <w:rPr>
                <w:rFonts w:hint="eastAsia" w:ascii="宋体" w:hAnsi="宋体"/>
                <w:bCs/>
                <w:color w:val="auto"/>
                <w:szCs w:val="21"/>
                <w:highlight w:val="none"/>
              </w:rPr>
              <w:t>7. 收入的风险应对</w:t>
            </w:r>
          </w:p>
          <w:p w14:paraId="5250232D">
            <w:pPr>
              <w:spacing w:line="520" w:lineRule="exact"/>
              <w:rPr>
                <w:rFonts w:hint="eastAsia" w:ascii="宋体" w:hAnsi="宋体"/>
                <w:bCs/>
                <w:color w:val="auto"/>
                <w:szCs w:val="21"/>
                <w:highlight w:val="none"/>
              </w:rPr>
            </w:pPr>
            <w:r>
              <w:rPr>
                <w:rFonts w:hint="eastAsia" w:ascii="宋体" w:hAnsi="宋体"/>
                <w:bCs/>
                <w:color w:val="auto"/>
                <w:szCs w:val="21"/>
                <w:highlight w:val="none"/>
              </w:rPr>
              <w:t>在风险应对实质性程序阶段中应用大数据技术。通过案例，运用RPA与数据处理技术，对销售订单进行全量核查，复核关键业务数据。课程涵盖通过Python调用API及RPA技术，获取并验证第三方物流信息，并应用社会网络分析技术，核查存疑客户间的关联关系，以发现审计疑点。旨在培养学生设计大数据应用方案，利用技术提升审计效率、降低审计风险的能力。</w:t>
            </w:r>
          </w:p>
          <w:p w14:paraId="67624B37">
            <w:pPr>
              <w:spacing w:line="520" w:lineRule="exact"/>
              <w:rPr>
                <w:rFonts w:hint="eastAsia" w:ascii="宋体" w:hAnsi="宋体"/>
                <w:bCs/>
                <w:color w:val="auto"/>
                <w:szCs w:val="21"/>
                <w:highlight w:val="none"/>
              </w:rPr>
            </w:pPr>
            <w:r>
              <w:rPr>
                <w:rFonts w:hint="eastAsia" w:ascii="宋体" w:hAnsi="宋体"/>
                <w:bCs/>
                <w:color w:val="auto"/>
                <w:szCs w:val="21"/>
                <w:highlight w:val="none"/>
              </w:rPr>
              <w:t>8.自动化技术基础</w:t>
            </w:r>
          </w:p>
          <w:p w14:paraId="40EC686E">
            <w:pPr>
              <w:spacing w:line="520" w:lineRule="exact"/>
              <w:rPr>
                <w:rFonts w:hint="eastAsia" w:ascii="宋体" w:hAnsi="宋体"/>
                <w:bCs/>
                <w:color w:val="auto"/>
                <w:szCs w:val="21"/>
                <w:highlight w:val="none"/>
              </w:rPr>
            </w:pPr>
            <w:r>
              <w:rPr>
                <w:rFonts w:hint="eastAsia" w:ascii="宋体" w:hAnsi="宋体"/>
                <w:bCs/>
                <w:color w:val="auto"/>
                <w:szCs w:val="21"/>
                <w:highlight w:val="none"/>
              </w:rPr>
              <w:t>介绍大数据技术下的自动化实现方式，包括使用RPA、Python和区块链技术；体验基于区块链技术的电子函证平台完成往来函证。介绍自动化技术在审计实务中的应用实现，包括数据的收集与整理、数据的自动化核查、报表的自动化生成，使学生掌握自动化技术的基础知识及审计典型应用场景。</w:t>
            </w:r>
          </w:p>
          <w:p w14:paraId="486F0992">
            <w:pPr>
              <w:spacing w:line="520" w:lineRule="exact"/>
              <w:rPr>
                <w:rFonts w:hint="eastAsia" w:ascii="宋体" w:hAnsi="宋体"/>
                <w:bCs/>
                <w:color w:val="auto"/>
                <w:szCs w:val="21"/>
                <w:highlight w:val="none"/>
              </w:rPr>
            </w:pPr>
            <w:r>
              <w:rPr>
                <w:rFonts w:hint="eastAsia" w:ascii="宋体" w:hAnsi="宋体"/>
                <w:bCs/>
                <w:color w:val="auto"/>
                <w:szCs w:val="21"/>
                <w:highlight w:val="none"/>
              </w:rPr>
              <w:t>★9.自动函证技术</w:t>
            </w:r>
          </w:p>
          <w:p w14:paraId="66CEF60F">
            <w:pPr>
              <w:spacing w:line="520" w:lineRule="exact"/>
              <w:rPr>
                <w:rFonts w:hint="eastAsia" w:ascii="宋体" w:hAnsi="宋体"/>
                <w:bCs/>
                <w:color w:val="auto"/>
                <w:szCs w:val="21"/>
                <w:highlight w:val="none"/>
              </w:rPr>
            </w:pPr>
            <w:r>
              <w:rPr>
                <w:rFonts w:hint="eastAsia" w:ascii="宋体" w:hAnsi="宋体"/>
                <w:bCs/>
                <w:color w:val="auto"/>
                <w:szCs w:val="21"/>
                <w:highlight w:val="none"/>
              </w:rPr>
              <w:t>在风险应对实质性程序阶段，应收账款审计中应用大数据技术。学生将学习运用Python与RPA技术，自动生成函证并调用API接口，高效完成函证地址复核及全量客商信用风险信息核查。课程旨在培养学生利用自动化技术执行全量审计、提升效率并降低审计风险的能力。</w:t>
            </w:r>
          </w:p>
          <w:p w14:paraId="2CC29D5A">
            <w:pPr>
              <w:spacing w:line="520" w:lineRule="exact"/>
              <w:rPr>
                <w:rFonts w:hint="eastAsia" w:ascii="宋体" w:hAnsi="宋体"/>
                <w:bCs/>
                <w:color w:val="auto"/>
                <w:szCs w:val="21"/>
                <w:highlight w:val="none"/>
              </w:rPr>
            </w:pPr>
            <w:r>
              <w:rPr>
                <w:rFonts w:hint="eastAsia" w:ascii="宋体" w:hAnsi="宋体"/>
                <w:bCs/>
                <w:color w:val="auto"/>
                <w:szCs w:val="21"/>
                <w:highlight w:val="none"/>
              </w:rPr>
              <w:t>10.图像技术基础学习</w:t>
            </w:r>
          </w:p>
          <w:p w14:paraId="411B61DB">
            <w:pPr>
              <w:spacing w:line="520" w:lineRule="exact"/>
              <w:rPr>
                <w:rFonts w:hint="eastAsia" w:ascii="宋体" w:hAnsi="宋体"/>
                <w:bCs/>
                <w:color w:val="auto"/>
                <w:szCs w:val="21"/>
                <w:highlight w:val="none"/>
              </w:rPr>
            </w:pPr>
            <w:r>
              <w:rPr>
                <w:rFonts w:hint="eastAsia" w:ascii="宋体" w:hAnsi="宋体"/>
                <w:bCs/>
                <w:color w:val="auto"/>
                <w:szCs w:val="21"/>
                <w:highlight w:val="none"/>
              </w:rPr>
              <w:t>介绍图像识别技术及图像分析方法，包括文字识别方法、物体识别方法等；介绍通过Python实现图像分析的相关库，使学生掌握图像技术的基础知识。通过实践任务，应用Python完成对图片信息的提取，培养学生在审计实务中应用图像技术解决问题、提升工作效率的能力。</w:t>
            </w:r>
          </w:p>
          <w:p w14:paraId="5285F86E">
            <w:pPr>
              <w:spacing w:line="520" w:lineRule="exact"/>
              <w:rPr>
                <w:rFonts w:hint="eastAsia" w:ascii="宋体" w:hAnsi="宋体"/>
                <w:bCs/>
                <w:color w:val="auto"/>
                <w:szCs w:val="21"/>
                <w:highlight w:val="none"/>
              </w:rPr>
            </w:pPr>
            <w:r>
              <w:rPr>
                <w:rFonts w:hint="eastAsia" w:ascii="宋体" w:hAnsi="宋体"/>
                <w:bCs/>
                <w:color w:val="auto"/>
                <w:szCs w:val="21"/>
                <w:highlight w:val="none"/>
              </w:rPr>
              <w:t>★11. 算法识别舞弊</w:t>
            </w:r>
          </w:p>
          <w:p w14:paraId="7898870C">
            <w:pPr>
              <w:spacing w:line="520" w:lineRule="exact"/>
              <w:rPr>
                <w:rFonts w:hint="eastAsia" w:ascii="宋体" w:hAnsi="宋体"/>
                <w:bCs/>
                <w:color w:val="auto"/>
                <w:szCs w:val="21"/>
                <w:highlight w:val="none"/>
              </w:rPr>
            </w:pPr>
            <w:r>
              <w:rPr>
                <w:rFonts w:hint="eastAsia" w:ascii="宋体" w:hAnsi="宋体"/>
                <w:bCs/>
                <w:color w:val="auto"/>
                <w:szCs w:val="21"/>
                <w:highlight w:val="none"/>
              </w:rPr>
              <w:t>应用大数据技术进行内部舞弊审查。学生将学习利用算法、建立数据模型，快速识别异常交易与主体。课程通过建立自动化检测与预警监控模型，培养学生设计大数据审计方案、运用分析模型提升审计效率及改善企业管理水平的能力。</w:t>
            </w:r>
          </w:p>
          <w:p w14:paraId="0E81D791">
            <w:pPr>
              <w:spacing w:line="520" w:lineRule="exact"/>
              <w:rPr>
                <w:rFonts w:hint="eastAsia" w:ascii="宋体" w:hAnsi="宋体"/>
                <w:bCs/>
                <w:color w:val="auto"/>
                <w:szCs w:val="21"/>
                <w:highlight w:val="none"/>
              </w:rPr>
            </w:pPr>
            <w:r>
              <w:rPr>
                <w:rFonts w:hint="eastAsia" w:ascii="宋体" w:hAnsi="宋体"/>
                <w:bCs/>
                <w:color w:val="auto"/>
                <w:szCs w:val="21"/>
                <w:highlight w:val="none"/>
              </w:rPr>
              <w:t>合同签订前，采购人有权要求中标人对所投产品功能参数进行逐项演示，如发现有与其投标文件描述不符或弄虚作假行为，取消中标人资格，中标人承担违约责任。</w:t>
            </w:r>
          </w:p>
        </w:tc>
      </w:tr>
    </w:tbl>
    <w:p w14:paraId="5CB5AC4C">
      <w:pPr>
        <w:rPr>
          <w:rFonts w:hint="eastAsia"/>
          <w:b/>
          <w:bCs/>
          <w:color w:val="auto"/>
          <w:sz w:val="28"/>
          <w:szCs w:val="28"/>
          <w:highlight w:val="none"/>
        </w:rPr>
      </w:pPr>
    </w:p>
    <w:p w14:paraId="50BA0F83">
      <w:pPr>
        <w:rPr>
          <w:rFonts w:hint="eastAsia"/>
          <w:b/>
          <w:bCs/>
          <w:color w:val="auto"/>
          <w:sz w:val="28"/>
          <w:szCs w:val="28"/>
          <w:highlight w:val="none"/>
        </w:rPr>
      </w:pPr>
      <w:r>
        <w:rPr>
          <w:rFonts w:hint="eastAsia"/>
          <w:b/>
          <w:bCs/>
          <w:color w:val="auto"/>
          <w:sz w:val="28"/>
          <w:szCs w:val="28"/>
          <w:highlight w:val="none"/>
        </w:rPr>
        <w:br w:type="page"/>
      </w:r>
    </w:p>
    <w:p w14:paraId="71948480">
      <w:pPr>
        <w:rPr>
          <w:rFonts w:hint="eastAsia"/>
          <w:b/>
          <w:bCs/>
          <w:color w:val="auto"/>
          <w:sz w:val="28"/>
          <w:szCs w:val="28"/>
          <w:highlight w:val="none"/>
        </w:rPr>
      </w:pPr>
    </w:p>
    <w:p w14:paraId="7BFF496D">
      <w:pPr>
        <w:pStyle w:val="2"/>
        <w:numPr>
          <w:ilvl w:val="0"/>
          <w:numId w:val="0"/>
        </w:numPr>
        <w:spacing w:before="0" w:after="0" w:line="520" w:lineRule="exact"/>
        <w:jc w:val="center"/>
        <w:rPr>
          <w:rFonts w:ascii="Times New Roman" w:hAnsi="Times New Roman" w:eastAsia="方正小标宋_GBK" w:cs="Times New Roman"/>
          <w:color w:val="auto"/>
          <w:highlight w:val="none"/>
        </w:rPr>
      </w:pPr>
      <w:r>
        <w:rPr>
          <w:rFonts w:ascii="Times New Roman" w:hAnsi="Times New Roman" w:eastAsia="方正小标宋_GBK" w:cs="Times New Roman"/>
          <w:color w:val="auto"/>
          <w:highlight w:val="none"/>
        </w:rPr>
        <w:t>第四章 评标原则</w:t>
      </w:r>
    </w:p>
    <w:p w14:paraId="69155B4D">
      <w:pPr>
        <w:rPr>
          <w:rFonts w:hint="eastAsia" w:ascii="宋体" w:hAnsi="宋体"/>
          <w:color w:val="auto"/>
          <w:sz w:val="24"/>
          <w:highlight w:val="none"/>
        </w:rPr>
      </w:pPr>
      <w:r>
        <w:rPr>
          <w:rFonts w:hint="eastAsia" w:ascii="宋体" w:hAnsi="宋体"/>
          <w:color w:val="auto"/>
          <w:sz w:val="24"/>
          <w:highlight w:val="none"/>
        </w:rPr>
        <w:t>本项目采用评分法的原则，其中经济部分30分、技术部分45分，商务部分25分，共计100分。</w:t>
      </w:r>
    </w:p>
    <w:tbl>
      <w:tblPr>
        <w:tblStyle w:val="42"/>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189"/>
        <w:gridCol w:w="750"/>
        <w:gridCol w:w="5141"/>
        <w:gridCol w:w="1425"/>
      </w:tblGrid>
      <w:tr w14:paraId="765B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88" w:type="dxa"/>
            <w:vAlign w:val="center"/>
          </w:tcPr>
          <w:p w14:paraId="735C8B76">
            <w:pPr>
              <w:pStyle w:val="206"/>
              <w:spacing w:after="120" w:line="520" w:lineRule="exact"/>
              <w:ind w:firstLine="0" w:firstLineChars="0"/>
              <w:jc w:val="center"/>
              <w:rPr>
                <w:rFonts w:hint="eastAsia" w:ascii="宋体" w:hAnsi="宋体" w:cs="宋体"/>
                <w:color w:val="auto"/>
                <w:spacing w:val="0"/>
                <w:szCs w:val="21"/>
                <w:highlight w:val="none"/>
              </w:rPr>
            </w:pPr>
            <w:r>
              <w:rPr>
                <w:rFonts w:hint="eastAsia" w:ascii="宋体" w:hAnsi="宋体" w:cs="宋体"/>
                <w:color w:val="auto"/>
                <w:spacing w:val="0"/>
                <w:szCs w:val="21"/>
                <w:highlight w:val="none"/>
              </w:rPr>
              <w:t>序号</w:t>
            </w:r>
          </w:p>
        </w:tc>
        <w:tc>
          <w:tcPr>
            <w:tcW w:w="1189" w:type="dxa"/>
            <w:vAlign w:val="center"/>
          </w:tcPr>
          <w:p w14:paraId="405F1CB0">
            <w:pPr>
              <w:pStyle w:val="206"/>
              <w:spacing w:after="120" w:line="520" w:lineRule="exact"/>
              <w:ind w:firstLine="0" w:firstLineChars="0"/>
              <w:jc w:val="center"/>
              <w:rPr>
                <w:rFonts w:hint="eastAsia" w:ascii="宋体" w:hAnsi="宋体" w:cs="宋体"/>
                <w:color w:val="auto"/>
                <w:spacing w:val="0"/>
                <w:szCs w:val="21"/>
                <w:highlight w:val="none"/>
              </w:rPr>
            </w:pPr>
            <w:r>
              <w:rPr>
                <w:rFonts w:hint="eastAsia" w:ascii="宋体" w:hAnsi="宋体" w:cs="宋体"/>
                <w:color w:val="auto"/>
                <w:spacing w:val="0"/>
                <w:szCs w:val="21"/>
                <w:highlight w:val="none"/>
              </w:rPr>
              <w:t>评分因素及权重</w:t>
            </w:r>
          </w:p>
        </w:tc>
        <w:tc>
          <w:tcPr>
            <w:tcW w:w="750" w:type="dxa"/>
            <w:vAlign w:val="center"/>
          </w:tcPr>
          <w:p w14:paraId="1BDC584B">
            <w:pPr>
              <w:pStyle w:val="206"/>
              <w:spacing w:after="120" w:line="52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分值</w:t>
            </w:r>
          </w:p>
        </w:tc>
        <w:tc>
          <w:tcPr>
            <w:tcW w:w="5141" w:type="dxa"/>
            <w:vAlign w:val="center"/>
          </w:tcPr>
          <w:p w14:paraId="6F33EC3E">
            <w:pPr>
              <w:pStyle w:val="206"/>
              <w:spacing w:after="120" w:line="520" w:lineRule="exact"/>
              <w:ind w:firstLine="0" w:firstLineChars="0"/>
              <w:jc w:val="center"/>
              <w:rPr>
                <w:rFonts w:hint="eastAsia" w:ascii="宋体" w:hAnsi="宋体" w:cs="宋体"/>
                <w:color w:val="auto"/>
                <w:spacing w:val="0"/>
                <w:szCs w:val="21"/>
                <w:highlight w:val="none"/>
              </w:rPr>
            </w:pPr>
            <w:r>
              <w:rPr>
                <w:rFonts w:hint="eastAsia" w:ascii="宋体" w:hAnsi="宋体" w:cs="宋体"/>
                <w:color w:val="auto"/>
                <w:spacing w:val="0"/>
                <w:szCs w:val="21"/>
                <w:highlight w:val="none"/>
              </w:rPr>
              <w:t>评分标准</w:t>
            </w:r>
          </w:p>
        </w:tc>
        <w:tc>
          <w:tcPr>
            <w:tcW w:w="1425" w:type="dxa"/>
            <w:vAlign w:val="center"/>
          </w:tcPr>
          <w:p w14:paraId="35FAECCD">
            <w:pPr>
              <w:pStyle w:val="206"/>
              <w:spacing w:after="120" w:line="520" w:lineRule="exact"/>
              <w:ind w:firstLine="0" w:firstLineChars="0"/>
              <w:jc w:val="center"/>
              <w:rPr>
                <w:rFonts w:hint="eastAsia" w:ascii="宋体" w:hAnsi="宋体" w:cs="宋体"/>
                <w:color w:val="auto"/>
                <w:spacing w:val="0"/>
                <w:szCs w:val="21"/>
                <w:highlight w:val="none"/>
              </w:rPr>
            </w:pPr>
            <w:r>
              <w:rPr>
                <w:rFonts w:hint="eastAsia" w:ascii="宋体" w:hAnsi="宋体" w:cs="宋体"/>
                <w:color w:val="auto"/>
                <w:spacing w:val="0"/>
                <w:szCs w:val="21"/>
                <w:highlight w:val="none"/>
              </w:rPr>
              <w:t>说明</w:t>
            </w:r>
          </w:p>
        </w:tc>
      </w:tr>
      <w:tr w14:paraId="68C2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4" w:hRule="atLeast"/>
          <w:jc w:val="center"/>
        </w:trPr>
        <w:tc>
          <w:tcPr>
            <w:tcW w:w="988" w:type="dxa"/>
            <w:vAlign w:val="center"/>
          </w:tcPr>
          <w:p w14:paraId="2781E89E">
            <w:pPr>
              <w:pStyle w:val="206"/>
              <w:spacing w:after="120" w:line="52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经济部分30%</w:t>
            </w:r>
          </w:p>
        </w:tc>
        <w:tc>
          <w:tcPr>
            <w:tcW w:w="1189" w:type="dxa"/>
            <w:vAlign w:val="center"/>
          </w:tcPr>
          <w:p w14:paraId="3DC5B0F8">
            <w:pPr>
              <w:pStyle w:val="206"/>
              <w:spacing w:after="120" w:line="520" w:lineRule="exact"/>
              <w:ind w:firstLine="0" w:firstLineChars="0"/>
              <w:jc w:val="center"/>
              <w:rPr>
                <w:rFonts w:hint="eastAsia" w:ascii="宋体" w:hAnsi="宋体" w:cs="宋体"/>
                <w:color w:val="auto"/>
                <w:spacing w:val="0"/>
                <w:szCs w:val="21"/>
                <w:highlight w:val="none"/>
              </w:rPr>
            </w:pPr>
            <w:r>
              <w:rPr>
                <w:rFonts w:hint="eastAsia" w:ascii="宋体" w:hAnsi="宋体" w:cs="宋体"/>
                <w:color w:val="auto"/>
                <w:spacing w:val="0"/>
                <w:szCs w:val="21"/>
                <w:highlight w:val="none"/>
              </w:rPr>
              <w:t>投标报价30%</w:t>
            </w:r>
          </w:p>
        </w:tc>
        <w:tc>
          <w:tcPr>
            <w:tcW w:w="750" w:type="dxa"/>
            <w:vAlign w:val="center"/>
          </w:tcPr>
          <w:p w14:paraId="6422DD14">
            <w:pPr>
              <w:pStyle w:val="206"/>
              <w:spacing w:after="120" w:line="520" w:lineRule="exact"/>
              <w:ind w:firstLine="0" w:firstLineChars="0"/>
              <w:rPr>
                <w:rFonts w:hint="eastAsia" w:ascii="宋体" w:hAnsi="宋体" w:cs="宋体"/>
                <w:color w:val="auto"/>
                <w:szCs w:val="21"/>
                <w:highlight w:val="none"/>
              </w:rPr>
            </w:pPr>
            <w:r>
              <w:rPr>
                <w:rFonts w:hint="eastAsia" w:ascii="宋体" w:hAnsi="宋体" w:cs="宋体"/>
                <w:color w:val="auto"/>
                <w:szCs w:val="21"/>
                <w:highlight w:val="none"/>
              </w:rPr>
              <w:t>30分</w:t>
            </w:r>
          </w:p>
        </w:tc>
        <w:tc>
          <w:tcPr>
            <w:tcW w:w="5141" w:type="dxa"/>
            <w:vAlign w:val="center"/>
          </w:tcPr>
          <w:p w14:paraId="288830F1">
            <w:pPr>
              <w:spacing w:line="520" w:lineRule="exact"/>
              <w:jc w:val="left"/>
              <w:rPr>
                <w:rFonts w:hint="eastAsia" w:ascii="宋体" w:hAnsi="宋体"/>
                <w:snapToGrid w:val="0"/>
                <w:color w:val="auto"/>
                <w:spacing w:val="4"/>
                <w:kern w:val="0"/>
                <w:szCs w:val="21"/>
                <w:highlight w:val="none"/>
              </w:rPr>
            </w:pPr>
            <w:r>
              <w:rPr>
                <w:rFonts w:hint="eastAsia" w:ascii="宋体" w:hAnsi="宋体"/>
                <w:snapToGrid w:val="0"/>
                <w:color w:val="auto"/>
                <w:spacing w:val="4"/>
                <w:kern w:val="0"/>
                <w:szCs w:val="21"/>
                <w:highlight w:val="none"/>
              </w:rPr>
              <w:t>有效的投标报价中的最低价为评标基准价，按照下列公式计算每个投标人的投标价格得分。</w:t>
            </w:r>
          </w:p>
          <w:p w14:paraId="0BCA5DE1">
            <w:pPr>
              <w:pStyle w:val="206"/>
              <w:spacing w:after="120" w:line="520" w:lineRule="exact"/>
              <w:ind w:firstLine="0" w:firstLineChars="0"/>
              <w:rPr>
                <w:rFonts w:hint="eastAsia" w:ascii="宋体" w:hAnsi="宋体" w:cs="宋体"/>
                <w:color w:val="auto"/>
                <w:spacing w:val="0"/>
                <w:szCs w:val="21"/>
                <w:highlight w:val="none"/>
              </w:rPr>
            </w:pPr>
            <w:r>
              <w:rPr>
                <w:rFonts w:hint="eastAsia" w:ascii="宋体" w:hAnsi="宋体" w:cs="宋体"/>
                <w:color w:val="auto"/>
                <w:szCs w:val="21"/>
                <w:highlight w:val="none"/>
              </w:rPr>
              <w:t>投标报价得分＝（评标基准价/投标报价）×价格权重×100%</w:t>
            </w:r>
          </w:p>
        </w:tc>
        <w:tc>
          <w:tcPr>
            <w:tcW w:w="1425" w:type="dxa"/>
          </w:tcPr>
          <w:p w14:paraId="6D80296C">
            <w:pPr>
              <w:pStyle w:val="206"/>
              <w:spacing w:after="120" w:line="520" w:lineRule="exact"/>
              <w:ind w:firstLine="0" w:firstLineChars="0"/>
              <w:rPr>
                <w:rFonts w:hint="eastAsia" w:ascii="宋体" w:hAnsi="宋体" w:cs="宋体"/>
                <w:color w:val="auto"/>
                <w:szCs w:val="21"/>
                <w:highlight w:val="none"/>
              </w:rPr>
            </w:pPr>
          </w:p>
        </w:tc>
      </w:tr>
      <w:tr w14:paraId="2A7A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988" w:type="dxa"/>
            <w:vMerge w:val="restart"/>
            <w:vAlign w:val="center"/>
          </w:tcPr>
          <w:p w14:paraId="767796F3">
            <w:pPr>
              <w:pStyle w:val="206"/>
              <w:spacing w:after="120" w:line="52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技术部分45%</w:t>
            </w:r>
          </w:p>
        </w:tc>
        <w:tc>
          <w:tcPr>
            <w:tcW w:w="1189" w:type="dxa"/>
            <w:vMerge w:val="restart"/>
            <w:vAlign w:val="center"/>
          </w:tcPr>
          <w:p w14:paraId="64E6DB37">
            <w:pPr>
              <w:pStyle w:val="206"/>
              <w:spacing w:after="120" w:line="52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技术指标响应25%</w:t>
            </w:r>
          </w:p>
        </w:tc>
        <w:tc>
          <w:tcPr>
            <w:tcW w:w="5891" w:type="dxa"/>
            <w:gridSpan w:val="2"/>
            <w:vAlign w:val="center"/>
          </w:tcPr>
          <w:p w14:paraId="0774BF66">
            <w:pPr>
              <w:pStyle w:val="206"/>
              <w:spacing w:after="120" w:line="520" w:lineRule="exact"/>
              <w:ind w:firstLine="0" w:firstLineChars="0"/>
              <w:rPr>
                <w:rFonts w:hint="eastAsia" w:ascii="宋体" w:hAnsi="宋体" w:cs="宋体"/>
                <w:color w:val="auto"/>
                <w:szCs w:val="21"/>
                <w:highlight w:val="none"/>
              </w:rPr>
            </w:pPr>
            <w:r>
              <w:rPr>
                <w:rFonts w:hint="eastAsia" w:ascii="宋体" w:hAnsi="宋体" w:cs="宋体"/>
                <w:color w:val="auto"/>
                <w:szCs w:val="21"/>
                <w:highlight w:val="none"/>
              </w:rPr>
              <w:t>技术部分得分为零的投标人将失去中标候选人资格</w:t>
            </w:r>
          </w:p>
        </w:tc>
        <w:tc>
          <w:tcPr>
            <w:tcW w:w="1425" w:type="dxa"/>
          </w:tcPr>
          <w:p w14:paraId="24DF6D8B">
            <w:pPr>
              <w:pStyle w:val="206"/>
              <w:spacing w:after="120" w:line="520" w:lineRule="exact"/>
              <w:ind w:firstLine="0" w:firstLineChars="0"/>
              <w:rPr>
                <w:rFonts w:hint="eastAsia" w:ascii="宋体" w:hAnsi="宋体" w:cs="宋体"/>
                <w:color w:val="auto"/>
                <w:szCs w:val="21"/>
                <w:highlight w:val="none"/>
              </w:rPr>
            </w:pPr>
          </w:p>
        </w:tc>
      </w:tr>
      <w:tr w14:paraId="0A4F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988" w:type="dxa"/>
            <w:vMerge w:val="continue"/>
            <w:vAlign w:val="center"/>
          </w:tcPr>
          <w:p w14:paraId="2EA55036">
            <w:pPr>
              <w:pStyle w:val="206"/>
              <w:spacing w:after="120" w:line="520" w:lineRule="exact"/>
              <w:ind w:firstLine="199" w:firstLineChars="83"/>
              <w:rPr>
                <w:rFonts w:hint="eastAsia" w:ascii="宋体" w:hAnsi="宋体" w:cs="宋体"/>
                <w:color w:val="auto"/>
                <w:spacing w:val="0"/>
                <w:szCs w:val="21"/>
                <w:highlight w:val="none"/>
              </w:rPr>
            </w:pPr>
          </w:p>
        </w:tc>
        <w:tc>
          <w:tcPr>
            <w:tcW w:w="1189" w:type="dxa"/>
            <w:vMerge w:val="continue"/>
            <w:vAlign w:val="center"/>
          </w:tcPr>
          <w:p w14:paraId="1702EF2D">
            <w:pPr>
              <w:pStyle w:val="206"/>
              <w:spacing w:after="120" w:line="520" w:lineRule="exact"/>
              <w:ind w:firstLine="0" w:firstLineChars="0"/>
              <w:jc w:val="center"/>
              <w:rPr>
                <w:rFonts w:hint="eastAsia" w:ascii="宋体" w:hAnsi="宋体" w:cs="宋体"/>
                <w:color w:val="auto"/>
                <w:spacing w:val="0"/>
                <w:szCs w:val="21"/>
                <w:highlight w:val="none"/>
              </w:rPr>
            </w:pPr>
          </w:p>
        </w:tc>
        <w:tc>
          <w:tcPr>
            <w:tcW w:w="750" w:type="dxa"/>
            <w:vAlign w:val="center"/>
          </w:tcPr>
          <w:p w14:paraId="669E56BB">
            <w:pPr>
              <w:pStyle w:val="206"/>
              <w:spacing w:after="120" w:line="52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25分</w:t>
            </w:r>
          </w:p>
        </w:tc>
        <w:tc>
          <w:tcPr>
            <w:tcW w:w="5141" w:type="dxa"/>
            <w:vAlign w:val="center"/>
          </w:tcPr>
          <w:p w14:paraId="6372256A">
            <w:pPr>
              <w:spacing w:line="520" w:lineRule="exact"/>
              <w:jc w:val="left"/>
              <w:rPr>
                <w:rFonts w:hint="eastAsia" w:ascii="宋体" w:hAnsi="宋体"/>
                <w:snapToGrid w:val="0"/>
                <w:color w:val="auto"/>
                <w:spacing w:val="4"/>
                <w:kern w:val="0"/>
                <w:szCs w:val="21"/>
                <w:highlight w:val="none"/>
              </w:rPr>
            </w:pPr>
            <w:r>
              <w:rPr>
                <w:rFonts w:hint="eastAsia" w:ascii="宋体" w:hAnsi="宋体"/>
                <w:snapToGrid w:val="0"/>
                <w:color w:val="auto"/>
                <w:spacing w:val="4"/>
                <w:kern w:val="0"/>
                <w:szCs w:val="21"/>
                <w:highlight w:val="none"/>
              </w:rPr>
              <w:t>技术指标全部满足招标要求的起评分为25分。</w:t>
            </w:r>
          </w:p>
          <w:p w14:paraId="2D123969">
            <w:pPr>
              <w:spacing w:line="520" w:lineRule="exact"/>
              <w:jc w:val="left"/>
              <w:rPr>
                <w:rFonts w:hint="eastAsia" w:ascii="宋体" w:hAnsi="宋体"/>
                <w:snapToGrid w:val="0"/>
                <w:color w:val="auto"/>
                <w:spacing w:val="4"/>
                <w:kern w:val="0"/>
                <w:szCs w:val="21"/>
                <w:highlight w:val="none"/>
              </w:rPr>
            </w:pPr>
            <w:r>
              <w:rPr>
                <w:rFonts w:hint="eastAsia" w:ascii="宋体" w:hAnsi="宋体"/>
                <w:snapToGrid w:val="0"/>
                <w:color w:val="auto"/>
                <w:spacing w:val="4"/>
                <w:kern w:val="0"/>
                <w:szCs w:val="21"/>
                <w:highlight w:val="none"/>
              </w:rPr>
              <w:t>参数中标注“</w:t>
            </w:r>
            <w:r>
              <w:rPr>
                <w:rFonts w:hint="eastAsia" w:ascii="宋体" w:hAnsi="宋体"/>
                <w:color w:val="auto"/>
                <w:szCs w:val="21"/>
                <w:highlight w:val="none"/>
              </w:rPr>
              <w:t>★</w:t>
            </w:r>
            <w:r>
              <w:rPr>
                <w:rFonts w:hint="eastAsia" w:ascii="宋体" w:hAnsi="宋体"/>
                <w:snapToGrid w:val="0"/>
                <w:color w:val="auto"/>
                <w:spacing w:val="4"/>
                <w:kern w:val="0"/>
                <w:szCs w:val="21"/>
                <w:highlight w:val="none"/>
              </w:rPr>
              <w:t>”的条款为重要参数，每有一项负偏离扣5分，扣完为止。</w:t>
            </w:r>
          </w:p>
          <w:p w14:paraId="2F314C2F">
            <w:pPr>
              <w:spacing w:line="520" w:lineRule="exact"/>
              <w:jc w:val="left"/>
              <w:rPr>
                <w:rFonts w:hint="eastAsia" w:ascii="宋体" w:hAnsi="宋体"/>
                <w:color w:val="auto"/>
                <w:szCs w:val="21"/>
                <w:highlight w:val="none"/>
              </w:rPr>
            </w:pPr>
            <w:r>
              <w:rPr>
                <w:rFonts w:hint="eastAsia" w:ascii="宋体" w:hAnsi="宋体"/>
                <w:snapToGrid w:val="0"/>
                <w:color w:val="auto"/>
                <w:spacing w:val="4"/>
                <w:kern w:val="0"/>
                <w:szCs w:val="21"/>
                <w:highlight w:val="none"/>
              </w:rPr>
              <w:t>未标注符号的条款为普通参数，每有一项负偏离扣2分，扣完为止。</w:t>
            </w:r>
          </w:p>
        </w:tc>
        <w:tc>
          <w:tcPr>
            <w:tcW w:w="1425" w:type="dxa"/>
          </w:tcPr>
          <w:p w14:paraId="11447527">
            <w:pPr>
              <w:pStyle w:val="206"/>
              <w:spacing w:after="120" w:line="520" w:lineRule="exact"/>
              <w:ind w:firstLine="0" w:firstLineChars="0"/>
              <w:rPr>
                <w:rFonts w:hint="eastAsia" w:ascii="宋体" w:hAnsi="宋体" w:cs="宋体"/>
                <w:color w:val="auto"/>
                <w:spacing w:val="0"/>
                <w:szCs w:val="21"/>
                <w:highlight w:val="none"/>
              </w:rPr>
            </w:pPr>
          </w:p>
        </w:tc>
      </w:tr>
      <w:tr w14:paraId="79D8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988" w:type="dxa"/>
            <w:vMerge w:val="continue"/>
            <w:vAlign w:val="center"/>
          </w:tcPr>
          <w:p w14:paraId="173195C5">
            <w:pPr>
              <w:pStyle w:val="206"/>
              <w:spacing w:after="120" w:line="520" w:lineRule="exact"/>
              <w:ind w:firstLine="199" w:firstLineChars="83"/>
              <w:rPr>
                <w:rFonts w:hint="eastAsia" w:ascii="宋体" w:hAnsi="宋体" w:cs="宋体"/>
                <w:color w:val="auto"/>
                <w:spacing w:val="0"/>
                <w:szCs w:val="21"/>
                <w:highlight w:val="none"/>
              </w:rPr>
            </w:pPr>
          </w:p>
        </w:tc>
        <w:tc>
          <w:tcPr>
            <w:tcW w:w="1189" w:type="dxa"/>
            <w:vAlign w:val="center"/>
          </w:tcPr>
          <w:p w14:paraId="644B6056">
            <w:pPr>
              <w:pStyle w:val="206"/>
              <w:spacing w:after="120" w:line="520" w:lineRule="exact"/>
              <w:ind w:firstLine="0" w:firstLineChars="0"/>
              <w:jc w:val="center"/>
              <w:rPr>
                <w:rFonts w:hint="eastAsia" w:ascii="宋体" w:hAnsi="宋体" w:cs="宋体"/>
                <w:color w:val="auto"/>
                <w:spacing w:val="0"/>
                <w:szCs w:val="21"/>
                <w:highlight w:val="none"/>
              </w:rPr>
            </w:pPr>
            <w:r>
              <w:rPr>
                <w:rFonts w:hint="eastAsia" w:ascii="宋体" w:hAnsi="宋体" w:cs="宋体"/>
                <w:color w:val="auto"/>
                <w:spacing w:val="0"/>
                <w:szCs w:val="21"/>
                <w:highlight w:val="none"/>
              </w:rPr>
              <w:t>现场演示20%</w:t>
            </w:r>
          </w:p>
        </w:tc>
        <w:tc>
          <w:tcPr>
            <w:tcW w:w="750" w:type="dxa"/>
            <w:vAlign w:val="center"/>
          </w:tcPr>
          <w:p w14:paraId="3ABB9ECE">
            <w:pPr>
              <w:pStyle w:val="206"/>
              <w:spacing w:after="120" w:line="52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20分</w:t>
            </w:r>
          </w:p>
        </w:tc>
        <w:tc>
          <w:tcPr>
            <w:tcW w:w="5141" w:type="dxa"/>
            <w:vAlign w:val="center"/>
          </w:tcPr>
          <w:p w14:paraId="4AC81D53">
            <w:pPr>
              <w:spacing w:line="500" w:lineRule="exact"/>
              <w:jc w:val="left"/>
              <w:rPr>
                <w:rFonts w:hint="eastAsia" w:ascii="宋体" w:hAnsi="宋体"/>
                <w:snapToGrid w:val="0"/>
                <w:color w:val="auto"/>
                <w:spacing w:val="4"/>
                <w:kern w:val="0"/>
                <w:szCs w:val="21"/>
                <w:highlight w:val="none"/>
              </w:rPr>
            </w:pPr>
            <w:r>
              <w:rPr>
                <w:rFonts w:hint="eastAsia" w:ascii="宋体" w:hAnsi="宋体"/>
                <w:snapToGrid w:val="0"/>
                <w:color w:val="auto"/>
                <w:spacing w:val="4"/>
                <w:kern w:val="0"/>
                <w:szCs w:val="21"/>
                <w:highlight w:val="none"/>
              </w:rPr>
              <w:t>现场演示，满分20分。有一条不满足扣5分，最多扣20分。不提供演示，本项得0分。</w:t>
            </w:r>
          </w:p>
          <w:p w14:paraId="7A19E6D8">
            <w:pPr>
              <w:spacing w:line="500" w:lineRule="exact"/>
              <w:jc w:val="left"/>
              <w:rPr>
                <w:rFonts w:hint="eastAsia" w:ascii="宋体" w:hAnsi="宋体"/>
                <w:snapToGrid w:val="0"/>
                <w:color w:val="auto"/>
                <w:spacing w:val="4"/>
                <w:kern w:val="0"/>
                <w:szCs w:val="21"/>
                <w:highlight w:val="none"/>
              </w:rPr>
            </w:pPr>
            <w:r>
              <w:rPr>
                <w:rFonts w:hint="eastAsia" w:ascii="宋体" w:hAnsi="宋体"/>
                <w:snapToGrid w:val="0"/>
                <w:color w:val="auto"/>
                <w:spacing w:val="4"/>
                <w:kern w:val="0"/>
                <w:szCs w:val="21"/>
                <w:highlight w:val="none"/>
              </w:rPr>
              <w:t>演示要求：</w:t>
            </w:r>
          </w:p>
          <w:p w14:paraId="4EB9E9AC">
            <w:pPr>
              <w:spacing w:line="500" w:lineRule="exact"/>
              <w:jc w:val="left"/>
              <w:rPr>
                <w:rFonts w:hint="eastAsia" w:ascii="宋体" w:hAnsi="宋体"/>
                <w:snapToGrid w:val="0"/>
                <w:color w:val="auto"/>
                <w:spacing w:val="4"/>
                <w:kern w:val="0"/>
                <w:szCs w:val="21"/>
                <w:highlight w:val="none"/>
              </w:rPr>
            </w:pPr>
            <w:r>
              <w:rPr>
                <w:rFonts w:hint="eastAsia" w:ascii="宋体" w:hAnsi="宋体"/>
                <w:snapToGrid w:val="0"/>
                <w:color w:val="auto"/>
                <w:spacing w:val="4"/>
                <w:kern w:val="0"/>
                <w:szCs w:val="21"/>
                <w:highlight w:val="none"/>
              </w:rPr>
              <w:t>1.支持上传文件，格式包含：.csv， .xlsx， .xls， .png， .jpg， .gif， .txt， .pdf， .doc， .docx， .ppt, .mp4， .ttf， .html， .json ， .py 。</w:t>
            </w:r>
          </w:p>
          <w:p w14:paraId="4D465967">
            <w:pPr>
              <w:spacing w:line="500" w:lineRule="exact"/>
              <w:jc w:val="left"/>
              <w:rPr>
                <w:rFonts w:hint="eastAsia" w:ascii="宋体" w:hAnsi="宋体"/>
                <w:snapToGrid w:val="0"/>
                <w:color w:val="auto"/>
                <w:spacing w:val="4"/>
                <w:kern w:val="0"/>
                <w:szCs w:val="21"/>
                <w:highlight w:val="none"/>
              </w:rPr>
            </w:pPr>
            <w:r>
              <w:rPr>
                <w:rFonts w:hint="eastAsia" w:ascii="宋体" w:hAnsi="宋体"/>
                <w:snapToGrid w:val="0"/>
                <w:color w:val="auto"/>
                <w:spacing w:val="4"/>
                <w:kern w:val="0"/>
                <w:szCs w:val="21"/>
                <w:highlight w:val="none"/>
              </w:rPr>
              <w:t>2.</w:t>
            </w:r>
            <w:r>
              <w:rPr>
                <w:rFonts w:hint="eastAsia" w:ascii="宋体" w:hAnsi="宋体"/>
                <w:bCs/>
                <w:color w:val="auto"/>
                <w:szCs w:val="21"/>
                <w:highlight w:val="none"/>
              </w:rPr>
              <w:t>平台支持在网页上直接运行Python程序，可自定义编写Python代码并运行，包括但不限于数据清洗、数据集成、数据可视化、数据转换、数值模拟、统计建模、机器学习等功能。代码模式分为4块区域：引导说明区、目录文件操作区、文件操作区、运行结果展示区。支持左右屏展示操作步骤及代码编辑区域，并可拖拽调节左右区域位置大小。目录文件操作区可以通过“添加”、“重命名”、“删除”、“刷新”、“重置”按钮进行操作，支持文件下载功能；文件操作区包含运行脚本、终止运行脚本、重置并恢复预置脚本、清空当前脚本、保存脚本、提交、下载脚本功能。运行结果展示区展示错误提示，及print的内容结果。可实现代码甄别，对学生提交的任务代码进行自动判分。</w:t>
            </w:r>
          </w:p>
          <w:p w14:paraId="1EE0B02B">
            <w:pPr>
              <w:spacing w:line="500" w:lineRule="exact"/>
              <w:jc w:val="left"/>
              <w:rPr>
                <w:rFonts w:hint="eastAsia" w:ascii="宋体" w:hAnsi="宋体"/>
                <w:snapToGrid w:val="0"/>
                <w:color w:val="auto"/>
                <w:spacing w:val="4"/>
                <w:kern w:val="0"/>
                <w:szCs w:val="21"/>
                <w:highlight w:val="none"/>
              </w:rPr>
            </w:pPr>
            <w:r>
              <w:rPr>
                <w:rFonts w:hint="eastAsia" w:ascii="宋体" w:hAnsi="宋体"/>
                <w:snapToGrid w:val="0"/>
                <w:color w:val="auto"/>
                <w:spacing w:val="4"/>
                <w:kern w:val="0"/>
                <w:szCs w:val="21"/>
                <w:highlight w:val="none"/>
              </w:rPr>
              <w:t>3.支持案例企业通过区块链函证平台创建项目，导入函证数据，生成电子询证函，对询证函进行电子签章，发送询证函，获取回函，查看区块链溯源信息。</w:t>
            </w:r>
          </w:p>
          <w:p w14:paraId="2CD31CBE">
            <w:pPr>
              <w:spacing w:line="500" w:lineRule="exact"/>
              <w:jc w:val="left"/>
              <w:rPr>
                <w:rFonts w:hint="eastAsia" w:ascii="宋体" w:hAnsi="宋体"/>
                <w:snapToGrid w:val="0"/>
                <w:color w:val="auto"/>
                <w:spacing w:val="4"/>
                <w:kern w:val="0"/>
                <w:szCs w:val="21"/>
                <w:highlight w:val="none"/>
              </w:rPr>
            </w:pPr>
            <w:r>
              <w:rPr>
                <w:rFonts w:hint="eastAsia" w:ascii="宋体" w:hAnsi="宋体"/>
                <w:snapToGrid w:val="0"/>
                <w:color w:val="auto"/>
                <w:spacing w:val="4"/>
                <w:kern w:val="0"/>
                <w:szCs w:val="21"/>
                <w:highlight w:val="none"/>
              </w:rPr>
              <w:t>4.支持在仿真平台中对案例企业及其客户之间的关联关系筛查，以可视化图形的方式展示，可对图形进行缩放、对节点进行拖拽，可导出图片。</w:t>
            </w:r>
          </w:p>
          <w:p w14:paraId="3A026490">
            <w:pPr>
              <w:spacing w:line="500" w:lineRule="exact"/>
              <w:jc w:val="left"/>
              <w:rPr>
                <w:rFonts w:hint="eastAsia" w:ascii="宋体" w:hAnsi="宋体"/>
                <w:snapToGrid w:val="0"/>
                <w:color w:val="auto"/>
                <w:spacing w:val="4"/>
                <w:kern w:val="0"/>
                <w:szCs w:val="21"/>
                <w:highlight w:val="none"/>
              </w:rPr>
            </w:pPr>
            <w:r>
              <w:rPr>
                <w:rFonts w:hint="eastAsia" w:ascii="宋体" w:hAnsi="宋体"/>
                <w:snapToGrid w:val="0"/>
                <w:color w:val="auto"/>
                <w:spacing w:val="4"/>
                <w:kern w:val="0"/>
                <w:szCs w:val="21"/>
                <w:highlight w:val="none"/>
              </w:rPr>
              <w:t>5.可查询案例企业上千份销售订单的物流信息，包括寄方信息、收方信息、货物信息、物流状态等20多个字段信息，支持RPA访问和API调用相关信息。</w:t>
            </w:r>
          </w:p>
          <w:p w14:paraId="08D8C35B">
            <w:pPr>
              <w:spacing w:line="500" w:lineRule="exact"/>
              <w:jc w:val="left"/>
              <w:rPr>
                <w:rFonts w:hint="eastAsia" w:ascii="宋体" w:hAnsi="宋体"/>
                <w:snapToGrid w:val="0"/>
                <w:color w:val="auto"/>
                <w:spacing w:val="4"/>
                <w:kern w:val="0"/>
                <w:szCs w:val="21"/>
                <w:highlight w:val="none"/>
              </w:rPr>
            </w:pPr>
            <w:r>
              <w:rPr>
                <w:rFonts w:hint="eastAsia" w:ascii="宋体" w:hAnsi="宋体"/>
                <w:snapToGrid w:val="0"/>
                <w:color w:val="auto"/>
                <w:spacing w:val="4"/>
                <w:kern w:val="0"/>
                <w:szCs w:val="21"/>
                <w:highlight w:val="none"/>
              </w:rPr>
              <w:t>6.平台应具备课程简介、本章简介、训练计划、思维导图、课程图谱、能力图谱、公告等模块，可通过自由模式、闯关模式、课程图谱、能力图谱等不少于4种方式开展教学；图谱分析模块能够基于知识图谱、能力图谱分析学生进度、掌握度、达标率等情况。应提供教师整个教学班综合情况，包含但不限于学习概况、教学成果、学生掌握度进度分布、学习时长和学习进度排行等，其中掌握度进度分布需使用散点图表示，方便教师查看分布高频区域。应能分析课程能力画像，通过雷达图展示当前班级平均能力掌握情况与本课要求的能力掌握对比，并可查看学生掌握度排行及详细个人报告。应能进行班级职业匹配分析，展示班级学生匹配度较高的职业，并展示该职业岗位职责、对应的能力要求及班级学生的匹配度。</w:t>
            </w:r>
          </w:p>
          <w:p w14:paraId="7ECB21C4">
            <w:pPr>
              <w:spacing w:line="500" w:lineRule="exact"/>
              <w:jc w:val="left"/>
              <w:rPr>
                <w:rFonts w:hint="eastAsia" w:ascii="宋体" w:hAnsi="宋体"/>
                <w:snapToGrid w:val="0"/>
                <w:color w:val="auto"/>
                <w:spacing w:val="4"/>
                <w:kern w:val="0"/>
                <w:szCs w:val="21"/>
                <w:highlight w:val="none"/>
              </w:rPr>
            </w:pPr>
            <w:r>
              <w:rPr>
                <w:rFonts w:hint="eastAsia" w:ascii="宋体" w:hAnsi="宋体"/>
                <w:snapToGrid w:val="0"/>
                <w:color w:val="auto"/>
                <w:spacing w:val="4"/>
                <w:kern w:val="0"/>
                <w:szCs w:val="21"/>
                <w:highlight w:val="none"/>
              </w:rPr>
              <w:t>7.在风险应对实质性程序阶段，应用大数据技术辅助完成应收账款实质性程序。了解区块链技术及自动化技术在审计中的应用。学生可基于审计目标，进行业务需求与技术需求的梳理，设计项目执行方案，运用大数据技术辅助完成相关审计工作底稿。应用Python自动化技术及RPA技术，自动生成函证。通过Python调用API接口，获取被函证企业地址信息，自动完成函证地址信息复核。通过Python调用API接口，获取客商工商综合信息，进行全量客商信用风险信息复核。培养学生应用大数据技术进行全量审计，提升审计效率、降低审计风险的能力。</w:t>
            </w:r>
          </w:p>
          <w:p w14:paraId="51DB66BF">
            <w:pPr>
              <w:spacing w:line="500" w:lineRule="exact"/>
              <w:jc w:val="left"/>
              <w:rPr>
                <w:rFonts w:hint="eastAsia" w:ascii="宋体" w:hAnsi="宋体"/>
                <w:snapToGrid w:val="0"/>
                <w:color w:val="auto"/>
                <w:spacing w:val="4"/>
                <w:kern w:val="0"/>
                <w:szCs w:val="21"/>
                <w:highlight w:val="none"/>
              </w:rPr>
            </w:pPr>
          </w:p>
        </w:tc>
        <w:tc>
          <w:tcPr>
            <w:tcW w:w="1425" w:type="dxa"/>
          </w:tcPr>
          <w:p w14:paraId="690181AE">
            <w:pPr>
              <w:pStyle w:val="206"/>
              <w:spacing w:after="120" w:line="500" w:lineRule="exact"/>
              <w:ind w:firstLine="0" w:firstLineChars="0"/>
              <w:rPr>
                <w:rFonts w:hint="eastAsia" w:ascii="宋体" w:hAnsi="宋体" w:cs="宋体"/>
                <w:color w:val="auto"/>
                <w:spacing w:val="0"/>
                <w:szCs w:val="21"/>
                <w:highlight w:val="none"/>
              </w:rPr>
            </w:pPr>
          </w:p>
        </w:tc>
      </w:tr>
      <w:tr w14:paraId="0C42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988" w:type="dxa"/>
            <w:vMerge w:val="restart"/>
            <w:vAlign w:val="center"/>
          </w:tcPr>
          <w:p w14:paraId="0EC8EF82">
            <w:pPr>
              <w:pStyle w:val="206"/>
              <w:spacing w:after="120" w:line="52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商务部分25%</w:t>
            </w:r>
          </w:p>
          <w:p w14:paraId="4D9900CD">
            <w:pPr>
              <w:pStyle w:val="206"/>
              <w:spacing w:after="120" w:line="520" w:lineRule="exact"/>
              <w:ind w:firstLine="199" w:firstLineChars="83"/>
              <w:jc w:val="center"/>
              <w:rPr>
                <w:rFonts w:hint="eastAsia" w:ascii="宋体" w:hAnsi="宋体" w:cs="宋体"/>
                <w:color w:val="auto"/>
                <w:spacing w:val="0"/>
                <w:szCs w:val="21"/>
                <w:highlight w:val="none"/>
              </w:rPr>
            </w:pPr>
          </w:p>
        </w:tc>
        <w:tc>
          <w:tcPr>
            <w:tcW w:w="1189" w:type="dxa"/>
            <w:vAlign w:val="center"/>
          </w:tcPr>
          <w:p w14:paraId="01C0A99E">
            <w:pPr>
              <w:pStyle w:val="206"/>
              <w:spacing w:after="120" w:line="520" w:lineRule="exact"/>
              <w:ind w:firstLine="0" w:firstLineChars="0"/>
              <w:jc w:val="center"/>
              <w:rPr>
                <w:rFonts w:hint="eastAsia" w:ascii="宋体" w:hAnsi="宋体" w:cs="宋体"/>
                <w:color w:val="auto"/>
                <w:spacing w:val="0"/>
                <w:szCs w:val="21"/>
                <w:highlight w:val="none"/>
              </w:rPr>
            </w:pPr>
            <w:r>
              <w:rPr>
                <w:rFonts w:hint="eastAsia" w:ascii="宋体" w:hAnsi="宋体" w:cs="宋体"/>
                <w:color w:val="auto"/>
                <w:spacing w:val="0"/>
                <w:szCs w:val="21"/>
                <w:highlight w:val="none"/>
              </w:rPr>
              <w:t>履约能力5%</w:t>
            </w:r>
          </w:p>
        </w:tc>
        <w:tc>
          <w:tcPr>
            <w:tcW w:w="750" w:type="dxa"/>
            <w:vAlign w:val="center"/>
          </w:tcPr>
          <w:p w14:paraId="5737D083">
            <w:pPr>
              <w:pStyle w:val="206"/>
              <w:spacing w:after="120" w:line="52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5分</w:t>
            </w:r>
          </w:p>
        </w:tc>
        <w:tc>
          <w:tcPr>
            <w:tcW w:w="5141" w:type="dxa"/>
            <w:vAlign w:val="center"/>
          </w:tcPr>
          <w:p w14:paraId="134721B0">
            <w:pPr>
              <w:pStyle w:val="206"/>
              <w:spacing w:after="120" w:line="50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提供2022年1月1日至今类似院校项目履约能力证明材料，每提供一个得1分，最多得5分（须提供项目中标通知书或项目合同复印件）。</w:t>
            </w:r>
          </w:p>
        </w:tc>
        <w:tc>
          <w:tcPr>
            <w:tcW w:w="1425" w:type="dxa"/>
          </w:tcPr>
          <w:p w14:paraId="2AE41D3A">
            <w:pPr>
              <w:pStyle w:val="206"/>
              <w:spacing w:after="120" w:line="50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提供证明材料并加盖投标人公章。</w:t>
            </w:r>
          </w:p>
        </w:tc>
      </w:tr>
      <w:tr w14:paraId="6DC3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88" w:type="dxa"/>
            <w:vMerge w:val="continue"/>
            <w:vAlign w:val="center"/>
          </w:tcPr>
          <w:p w14:paraId="5D226D67">
            <w:pPr>
              <w:pStyle w:val="206"/>
              <w:spacing w:after="120" w:line="520" w:lineRule="exact"/>
              <w:ind w:firstLine="199" w:firstLineChars="83"/>
              <w:rPr>
                <w:rFonts w:hint="eastAsia" w:ascii="宋体" w:hAnsi="宋体" w:cs="宋体"/>
                <w:color w:val="auto"/>
                <w:spacing w:val="0"/>
                <w:szCs w:val="21"/>
                <w:highlight w:val="none"/>
              </w:rPr>
            </w:pPr>
          </w:p>
        </w:tc>
        <w:tc>
          <w:tcPr>
            <w:tcW w:w="1189" w:type="dxa"/>
            <w:vAlign w:val="center"/>
          </w:tcPr>
          <w:p w14:paraId="0CCBF059">
            <w:pPr>
              <w:pStyle w:val="206"/>
              <w:spacing w:after="120" w:line="520" w:lineRule="exact"/>
              <w:ind w:firstLine="0" w:firstLineChars="0"/>
              <w:jc w:val="center"/>
              <w:rPr>
                <w:rFonts w:hint="eastAsia" w:ascii="宋体" w:hAnsi="宋体" w:cs="宋体"/>
                <w:color w:val="auto"/>
                <w:spacing w:val="0"/>
                <w:szCs w:val="21"/>
                <w:highlight w:val="none"/>
              </w:rPr>
            </w:pPr>
            <w:r>
              <w:rPr>
                <w:rFonts w:hint="eastAsia" w:ascii="宋体" w:hAnsi="宋体" w:cs="宋体"/>
                <w:color w:val="auto"/>
                <w:spacing w:val="0"/>
                <w:szCs w:val="21"/>
                <w:highlight w:val="none"/>
              </w:rPr>
              <w:t>投标人实力10%</w:t>
            </w:r>
          </w:p>
        </w:tc>
        <w:tc>
          <w:tcPr>
            <w:tcW w:w="750" w:type="dxa"/>
            <w:vAlign w:val="center"/>
          </w:tcPr>
          <w:p w14:paraId="06D03757">
            <w:pPr>
              <w:pStyle w:val="206"/>
              <w:spacing w:after="120" w:line="52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10分</w:t>
            </w:r>
          </w:p>
        </w:tc>
        <w:tc>
          <w:tcPr>
            <w:tcW w:w="5141" w:type="dxa"/>
            <w:vAlign w:val="center"/>
          </w:tcPr>
          <w:p w14:paraId="7CE7B023">
            <w:pPr>
              <w:pStyle w:val="206"/>
              <w:spacing w:after="120" w:line="50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1.投标产品制造商具有信息系统安全等级三级及以上证书得2.5分。</w:t>
            </w:r>
          </w:p>
          <w:p w14:paraId="5F5D1D02">
            <w:pPr>
              <w:pStyle w:val="206"/>
              <w:spacing w:after="120" w:line="50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2.投标产品制造商具有信息系统建设和服务能力等级证书基本级及以上证书得2</w:t>
            </w:r>
            <w:r>
              <w:rPr>
                <w:rFonts w:ascii="宋体" w:hAnsi="宋体" w:cs="宋体"/>
                <w:color w:val="auto"/>
                <w:spacing w:val="0"/>
                <w:szCs w:val="21"/>
                <w:highlight w:val="none"/>
              </w:rPr>
              <w:t>.</w:t>
            </w:r>
            <w:r>
              <w:rPr>
                <w:rFonts w:hint="eastAsia" w:ascii="宋体" w:hAnsi="宋体" w:cs="宋体"/>
                <w:color w:val="auto"/>
                <w:spacing w:val="0"/>
                <w:szCs w:val="21"/>
                <w:highlight w:val="none"/>
              </w:rPr>
              <w:t>5分。</w:t>
            </w:r>
          </w:p>
          <w:p w14:paraId="122EBDF4">
            <w:pPr>
              <w:pStyle w:val="206"/>
              <w:spacing w:after="120" w:line="50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3.投标产品制造商具有丰富的产教融合经验，与院校联合成功获省部级及以上教学成果，包括但不限于教学成果奖、一流课程等成果的得2</w:t>
            </w:r>
            <w:r>
              <w:rPr>
                <w:rFonts w:ascii="宋体" w:hAnsi="宋体" w:cs="宋体"/>
                <w:color w:val="auto"/>
                <w:spacing w:val="0"/>
                <w:szCs w:val="21"/>
                <w:highlight w:val="none"/>
              </w:rPr>
              <w:t>.5</w:t>
            </w:r>
            <w:r>
              <w:rPr>
                <w:rFonts w:hint="eastAsia" w:ascii="宋体" w:hAnsi="宋体" w:cs="宋体"/>
                <w:color w:val="auto"/>
                <w:spacing w:val="0"/>
                <w:szCs w:val="21"/>
                <w:highlight w:val="none"/>
              </w:rPr>
              <w:t>分。</w:t>
            </w:r>
          </w:p>
          <w:p w14:paraId="23FF185E">
            <w:pPr>
              <w:pStyle w:val="206"/>
              <w:spacing w:after="120" w:line="50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4.投标产品制造商具有GB/T19001系列或ISO9001系列质量管理体系认证得2</w:t>
            </w:r>
            <w:r>
              <w:rPr>
                <w:rFonts w:ascii="宋体" w:hAnsi="宋体" w:cs="宋体"/>
                <w:color w:val="auto"/>
                <w:spacing w:val="0"/>
                <w:szCs w:val="21"/>
                <w:highlight w:val="none"/>
              </w:rPr>
              <w:t>.5</w:t>
            </w:r>
            <w:r>
              <w:rPr>
                <w:rFonts w:hint="eastAsia" w:ascii="宋体" w:hAnsi="宋体" w:cs="宋体"/>
                <w:color w:val="auto"/>
                <w:spacing w:val="0"/>
                <w:szCs w:val="21"/>
                <w:highlight w:val="none"/>
              </w:rPr>
              <w:t>分。</w:t>
            </w:r>
          </w:p>
        </w:tc>
        <w:tc>
          <w:tcPr>
            <w:tcW w:w="1425" w:type="dxa"/>
          </w:tcPr>
          <w:p w14:paraId="0C5681ED">
            <w:pPr>
              <w:pStyle w:val="206"/>
              <w:spacing w:after="120" w:line="50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提供证明材料并加盖投标人公章。</w:t>
            </w:r>
          </w:p>
        </w:tc>
      </w:tr>
      <w:tr w14:paraId="3535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988" w:type="dxa"/>
            <w:vMerge w:val="continue"/>
            <w:vAlign w:val="center"/>
          </w:tcPr>
          <w:p w14:paraId="72ED1B0F">
            <w:pPr>
              <w:pStyle w:val="206"/>
              <w:spacing w:after="120" w:line="520" w:lineRule="exact"/>
              <w:ind w:firstLine="199" w:firstLineChars="83"/>
              <w:rPr>
                <w:rFonts w:hint="eastAsia" w:ascii="宋体" w:hAnsi="宋体" w:cs="宋体"/>
                <w:color w:val="auto"/>
                <w:spacing w:val="0"/>
                <w:szCs w:val="21"/>
                <w:highlight w:val="none"/>
              </w:rPr>
            </w:pPr>
          </w:p>
        </w:tc>
        <w:tc>
          <w:tcPr>
            <w:tcW w:w="1189" w:type="dxa"/>
            <w:vAlign w:val="center"/>
          </w:tcPr>
          <w:p w14:paraId="0D34049D">
            <w:pPr>
              <w:pStyle w:val="206"/>
              <w:spacing w:after="120" w:line="520" w:lineRule="exact"/>
              <w:ind w:firstLine="0" w:firstLineChars="0"/>
              <w:jc w:val="center"/>
              <w:rPr>
                <w:rFonts w:hint="eastAsia" w:ascii="宋体" w:hAnsi="宋体" w:cs="宋体"/>
                <w:color w:val="auto"/>
                <w:spacing w:val="0"/>
                <w:szCs w:val="21"/>
                <w:highlight w:val="none"/>
              </w:rPr>
            </w:pPr>
            <w:r>
              <w:rPr>
                <w:rFonts w:hint="eastAsia" w:ascii="宋体" w:hAnsi="宋体" w:cs="宋体"/>
                <w:color w:val="auto"/>
                <w:spacing w:val="0"/>
                <w:szCs w:val="21"/>
                <w:highlight w:val="none"/>
              </w:rPr>
              <w:t>培训方案4%</w:t>
            </w:r>
          </w:p>
        </w:tc>
        <w:tc>
          <w:tcPr>
            <w:tcW w:w="750" w:type="dxa"/>
            <w:vAlign w:val="center"/>
          </w:tcPr>
          <w:p w14:paraId="1FA1BFBF">
            <w:pPr>
              <w:pStyle w:val="206"/>
              <w:spacing w:after="120" w:line="52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4分</w:t>
            </w:r>
          </w:p>
        </w:tc>
        <w:tc>
          <w:tcPr>
            <w:tcW w:w="5141" w:type="dxa"/>
            <w:vAlign w:val="center"/>
          </w:tcPr>
          <w:p w14:paraId="1B45CB85">
            <w:pPr>
              <w:pStyle w:val="206"/>
              <w:spacing w:after="120" w:line="50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培训方案措施完整、科学、合理，条理清晰，具有较强的可实施性和针对性，优得4分，良得2分，差或未提供得0分。</w:t>
            </w:r>
          </w:p>
        </w:tc>
        <w:tc>
          <w:tcPr>
            <w:tcW w:w="1425" w:type="dxa"/>
          </w:tcPr>
          <w:p w14:paraId="5F9D6B95">
            <w:pPr>
              <w:pStyle w:val="206"/>
              <w:spacing w:after="120" w:line="500" w:lineRule="exact"/>
              <w:ind w:firstLine="0" w:firstLineChars="0"/>
              <w:rPr>
                <w:rFonts w:hint="eastAsia" w:ascii="宋体" w:hAnsi="宋体" w:cs="宋体"/>
                <w:color w:val="auto"/>
                <w:spacing w:val="0"/>
                <w:szCs w:val="21"/>
                <w:highlight w:val="none"/>
              </w:rPr>
            </w:pPr>
          </w:p>
        </w:tc>
      </w:tr>
      <w:tr w14:paraId="6409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988" w:type="dxa"/>
            <w:vMerge w:val="continue"/>
            <w:vAlign w:val="center"/>
          </w:tcPr>
          <w:p w14:paraId="4EEBFB84">
            <w:pPr>
              <w:pStyle w:val="206"/>
              <w:spacing w:after="120" w:line="520" w:lineRule="exact"/>
              <w:ind w:firstLine="199" w:firstLineChars="83"/>
              <w:rPr>
                <w:rFonts w:hint="eastAsia" w:ascii="宋体" w:hAnsi="宋体" w:cs="宋体"/>
                <w:color w:val="auto"/>
                <w:spacing w:val="0"/>
                <w:szCs w:val="21"/>
                <w:highlight w:val="none"/>
              </w:rPr>
            </w:pPr>
          </w:p>
        </w:tc>
        <w:tc>
          <w:tcPr>
            <w:tcW w:w="1189" w:type="dxa"/>
            <w:vAlign w:val="center"/>
          </w:tcPr>
          <w:p w14:paraId="4E1CD4C3">
            <w:pPr>
              <w:pStyle w:val="206"/>
              <w:spacing w:after="120" w:line="520" w:lineRule="exact"/>
              <w:ind w:firstLine="0" w:firstLineChars="0"/>
              <w:jc w:val="center"/>
              <w:rPr>
                <w:rFonts w:hint="eastAsia" w:ascii="宋体" w:hAnsi="宋体" w:cs="宋体"/>
                <w:color w:val="auto"/>
                <w:spacing w:val="0"/>
                <w:szCs w:val="21"/>
                <w:highlight w:val="none"/>
              </w:rPr>
            </w:pPr>
            <w:r>
              <w:rPr>
                <w:rFonts w:hint="eastAsia" w:ascii="宋体" w:hAnsi="宋体" w:cs="宋体"/>
                <w:color w:val="auto"/>
                <w:spacing w:val="0"/>
                <w:szCs w:val="21"/>
                <w:highlight w:val="none"/>
              </w:rPr>
              <w:t>项目实施人员6%</w:t>
            </w:r>
          </w:p>
        </w:tc>
        <w:tc>
          <w:tcPr>
            <w:tcW w:w="750" w:type="dxa"/>
            <w:vAlign w:val="center"/>
          </w:tcPr>
          <w:p w14:paraId="431B2690">
            <w:pPr>
              <w:pStyle w:val="206"/>
              <w:spacing w:after="120" w:line="52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6分</w:t>
            </w:r>
          </w:p>
        </w:tc>
        <w:tc>
          <w:tcPr>
            <w:tcW w:w="5141" w:type="dxa"/>
            <w:vAlign w:val="center"/>
          </w:tcPr>
          <w:p w14:paraId="03A34778">
            <w:pPr>
              <w:pStyle w:val="206"/>
              <w:spacing w:after="120" w:line="50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投标人每有一名实施人员有财会类部级证书（包括但不限于工业和信息化部、人社部等）得2分，最多得6分，未提供不得分。</w:t>
            </w:r>
          </w:p>
        </w:tc>
        <w:tc>
          <w:tcPr>
            <w:tcW w:w="1425" w:type="dxa"/>
          </w:tcPr>
          <w:p w14:paraId="29F98250">
            <w:pPr>
              <w:pStyle w:val="206"/>
              <w:spacing w:after="120" w:line="500" w:lineRule="exact"/>
              <w:ind w:firstLine="0" w:firstLineChars="0"/>
              <w:rPr>
                <w:rFonts w:hint="eastAsia" w:ascii="宋体" w:hAnsi="宋体" w:cs="宋体"/>
                <w:color w:val="auto"/>
                <w:spacing w:val="0"/>
                <w:szCs w:val="21"/>
                <w:highlight w:val="none"/>
              </w:rPr>
            </w:pPr>
            <w:r>
              <w:rPr>
                <w:rFonts w:hint="eastAsia" w:ascii="宋体" w:hAnsi="宋体" w:cs="宋体"/>
                <w:color w:val="auto"/>
                <w:spacing w:val="0"/>
                <w:szCs w:val="21"/>
                <w:highlight w:val="none"/>
              </w:rPr>
              <w:t>提供证明材料及实施人员2024年1月-2025年10月的社保证明，加盖投标人公章。</w:t>
            </w:r>
          </w:p>
        </w:tc>
      </w:tr>
    </w:tbl>
    <w:p w14:paraId="194988E3">
      <w:pPr>
        <w:rPr>
          <w:rFonts w:ascii="Times New Roman" w:hAnsi="Times New Roman" w:eastAsia="方正小标宋_GBK" w:cs="Times New Roman"/>
          <w:color w:val="auto"/>
          <w:highlight w:val="none"/>
        </w:rPr>
      </w:pPr>
    </w:p>
    <w:p w14:paraId="30235568">
      <w:pPr>
        <w:rPr>
          <w:rFonts w:ascii="Times New Roman" w:hAnsi="Times New Roman" w:eastAsia="方正小标宋_GBK" w:cs="Times New Roman"/>
          <w:color w:val="auto"/>
          <w:highlight w:val="none"/>
        </w:rPr>
      </w:pPr>
    </w:p>
    <w:p w14:paraId="0CEDA832">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bookmarkStart w:id="224" w:name="_Toc484637076"/>
      <w:bookmarkStart w:id="225" w:name="_Toc531594799"/>
      <w:bookmarkStart w:id="226" w:name="_Toc454373093"/>
      <w:bookmarkStart w:id="227" w:name="_Toc481694471"/>
    </w:p>
    <w:p w14:paraId="6A041025">
      <w:pPr>
        <w:pStyle w:val="2"/>
        <w:numPr>
          <w:ilvl w:val="0"/>
          <w:numId w:val="0"/>
        </w:numPr>
        <w:spacing w:before="0" w:after="0" w:line="520" w:lineRule="exact"/>
        <w:jc w:val="center"/>
        <w:rPr>
          <w:rFonts w:hint="eastAsia" w:ascii="方正小标宋_GBK" w:hAnsi="方正小标宋_GBK" w:eastAsia="方正小标宋_GBK" w:cs="方正小标宋_GBK"/>
          <w:b w:val="0"/>
          <w:bCs w:val="0"/>
          <w:color w:val="auto"/>
          <w:highlight w:val="none"/>
        </w:rPr>
      </w:pPr>
      <w:bookmarkStart w:id="228" w:name="_第五章 投标文件格式"/>
      <w:r>
        <w:rPr>
          <w:rFonts w:hint="eastAsia" w:ascii="方正小标宋_GBK" w:hAnsi="方正小标宋_GBK" w:eastAsia="方正小标宋_GBK" w:cs="方正小标宋_GBK"/>
          <w:b w:val="0"/>
          <w:bCs w:val="0"/>
          <w:color w:val="auto"/>
          <w:highlight w:val="none"/>
        </w:rPr>
        <w:t>第五章 投标文件格式</w:t>
      </w:r>
      <w:bookmarkEnd w:id="224"/>
      <w:bookmarkEnd w:id="225"/>
      <w:bookmarkEnd w:id="226"/>
      <w:bookmarkEnd w:id="227"/>
    </w:p>
    <w:bookmarkEnd w:id="228"/>
    <w:p w14:paraId="38EC56DA">
      <w:pPr>
        <w:spacing w:line="520" w:lineRule="exact"/>
        <w:rPr>
          <w:rFonts w:hint="eastAsia" w:ascii="仿宋" w:hAnsi="仿宋" w:eastAsia="仿宋" w:cs="仿宋"/>
          <w:b/>
          <w:color w:val="auto"/>
          <w:sz w:val="28"/>
          <w:szCs w:val="28"/>
          <w:highlight w:val="none"/>
        </w:rPr>
      </w:pPr>
      <w:bookmarkStart w:id="229" w:name="_Toc425408086"/>
      <w:bookmarkStart w:id="230" w:name="_Toc217446082"/>
      <w:r>
        <w:rPr>
          <w:rFonts w:hint="eastAsia" w:ascii="仿宋" w:hAnsi="仿宋" w:eastAsia="仿宋" w:cs="仿宋"/>
          <w:b/>
          <w:color w:val="auto"/>
          <w:sz w:val="28"/>
          <w:szCs w:val="28"/>
          <w:highlight w:val="none"/>
        </w:rPr>
        <w:t>一、投 标 函</w:t>
      </w:r>
      <w:bookmarkEnd w:id="229"/>
      <w:bookmarkEnd w:id="230"/>
    </w:p>
    <w:p w14:paraId="5DCCB9E4">
      <w:pPr>
        <w:spacing w:line="520" w:lineRule="exact"/>
        <w:ind w:firstLine="280" w:firstLineChars="1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（采购人）：</w:t>
      </w:r>
    </w:p>
    <w:p w14:paraId="120451B9">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我方全面研究了“  ”项目招标文件（  ），决定参加贵单位组织的本项目投标。我方授权（姓名、职务）代表我方（投标单位的名称）全权处理本项目投标的有关事宜。</w:t>
      </w:r>
    </w:p>
    <w:p w14:paraId="4ABFDD47">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1.我方自愿按照招标文件规定的各项要求向采购人提供所需货物/服务，总投标价为人民币    万元（大写：）。</w:t>
      </w:r>
    </w:p>
    <w:p w14:paraId="3D98DA0A">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2.一旦我方中标，我方将严格履行合同规定的责任和义务，保证于合同签字生效后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日内完成项目的安装、调试，并交付采购人验收、使用。</w:t>
      </w:r>
    </w:p>
    <w:p w14:paraId="2BF18508">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3.我方为本项目提交的投标文件正本</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份，副本</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份，用于开标唱标的“开标一览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份。</w:t>
      </w:r>
    </w:p>
    <w:p w14:paraId="6B893DC0">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4.我方愿意提供贵单位可能另外要求的，与投标有关的文件资料，并保证我方已提供和将要提供的文件资料是真实、准确的。</w:t>
      </w:r>
    </w:p>
    <w:p w14:paraId="0B12D149">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5.我方完全理解采购人不一定将合同授予最低报价的投标人的行为。</w:t>
      </w:r>
    </w:p>
    <w:p w14:paraId="6BF38B99">
      <w:pPr>
        <w:spacing w:line="520" w:lineRule="exact"/>
        <w:ind w:firstLine="537" w:firstLineChars="192"/>
        <w:rPr>
          <w:rFonts w:hint="eastAsia" w:ascii="仿宋" w:hAnsi="仿宋" w:eastAsia="仿宋" w:cs="仿宋"/>
          <w:color w:val="auto"/>
          <w:sz w:val="28"/>
          <w:szCs w:val="28"/>
          <w:highlight w:val="none"/>
        </w:rPr>
      </w:pPr>
    </w:p>
    <w:p w14:paraId="793F619E">
      <w:pPr>
        <w:spacing w:line="520" w:lineRule="exact"/>
        <w:ind w:firstLine="537" w:firstLineChars="192"/>
        <w:rPr>
          <w:rFonts w:hint="eastAsia" w:ascii="仿宋" w:hAnsi="仿宋" w:eastAsia="仿宋" w:cs="仿宋"/>
          <w:color w:val="auto"/>
          <w:sz w:val="28"/>
          <w:szCs w:val="28"/>
          <w:highlight w:val="none"/>
        </w:rPr>
      </w:pPr>
    </w:p>
    <w:p w14:paraId="0F90E01D">
      <w:pPr>
        <w:spacing w:line="520" w:lineRule="exact"/>
        <w:ind w:firstLine="537" w:firstLineChars="192"/>
        <w:rPr>
          <w:rFonts w:hint="eastAsia" w:ascii="仿宋" w:hAnsi="仿宋" w:eastAsia="仿宋" w:cs="仿宋"/>
          <w:color w:val="auto"/>
          <w:sz w:val="28"/>
          <w:szCs w:val="28"/>
          <w:highlight w:val="none"/>
        </w:rPr>
      </w:pPr>
    </w:p>
    <w:p w14:paraId="483768F7">
      <w:pPr>
        <w:spacing w:line="520" w:lineRule="exact"/>
        <w:rPr>
          <w:rFonts w:hint="eastAsia" w:ascii="仿宋" w:hAnsi="仿宋" w:eastAsia="仿宋" w:cs="仿宋"/>
          <w:color w:val="auto"/>
          <w:sz w:val="28"/>
          <w:szCs w:val="28"/>
          <w:highlight w:val="none"/>
        </w:rPr>
      </w:pPr>
    </w:p>
    <w:p w14:paraId="77D0E00B">
      <w:pPr>
        <w:spacing w:line="520" w:lineRule="exact"/>
        <w:rPr>
          <w:rFonts w:hint="eastAsia" w:ascii="仿宋" w:hAnsi="仿宋" w:eastAsia="仿宋" w:cs="仿宋"/>
          <w:color w:val="auto"/>
          <w:sz w:val="28"/>
          <w:szCs w:val="28"/>
          <w:highlight w:val="none"/>
        </w:rPr>
      </w:pPr>
    </w:p>
    <w:p w14:paraId="11891FBA">
      <w:pPr>
        <w:spacing w:line="520" w:lineRule="exact"/>
        <w:rPr>
          <w:rFonts w:hint="eastAsia" w:ascii="仿宋" w:hAnsi="仿宋" w:eastAsia="仿宋" w:cs="仿宋"/>
          <w:color w:val="auto"/>
          <w:sz w:val="28"/>
          <w:szCs w:val="28"/>
          <w:highlight w:val="none"/>
        </w:rPr>
      </w:pPr>
    </w:p>
    <w:p w14:paraId="10C2AE1D">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投标人名称（盖章）：        </w:t>
      </w:r>
    </w:p>
    <w:p w14:paraId="179E54F8">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法定代表人或授权代表（签字）：</w:t>
      </w:r>
    </w:p>
    <w:p w14:paraId="302E7E0B">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    期：</w:t>
      </w:r>
    </w:p>
    <w:p w14:paraId="666D49E9">
      <w:pPr>
        <w:spacing w:line="520" w:lineRule="exact"/>
        <w:rPr>
          <w:rFonts w:hint="eastAsia" w:ascii="仿宋" w:hAnsi="仿宋" w:eastAsia="仿宋" w:cs="仿宋"/>
          <w:b/>
          <w:color w:val="auto"/>
          <w:sz w:val="28"/>
          <w:szCs w:val="28"/>
          <w:highlight w:val="none"/>
        </w:rPr>
      </w:pPr>
      <w:bookmarkStart w:id="231" w:name="_Toc425408087"/>
      <w:r>
        <w:rPr>
          <w:rFonts w:hint="eastAsia" w:ascii="仿宋" w:hAnsi="仿宋" w:eastAsia="仿宋" w:cs="仿宋"/>
          <w:b/>
          <w:color w:val="auto"/>
          <w:sz w:val="28"/>
          <w:szCs w:val="28"/>
          <w:highlight w:val="none"/>
        </w:rPr>
        <w:t>二、法定代表人授权书</w:t>
      </w:r>
      <w:bookmarkEnd w:id="231"/>
    </w:p>
    <w:p w14:paraId="09B966A2">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__________________（采购人）：</w:t>
      </w:r>
    </w:p>
    <w:p w14:paraId="28A3196A">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本授权声明：（投标人名称）（法定代表人姓名、职务）授权（被授权人姓名、职务）为我方 “ ” 项目投标活动的合法代表，以我方名义全权处理该项目有关投标、签订合同以及执行合同等一切事宜。</w:t>
      </w:r>
    </w:p>
    <w:p w14:paraId="1412B2B4">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特此声明。</w:t>
      </w:r>
    </w:p>
    <w:p w14:paraId="3D117379">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法定代表人签字：</w:t>
      </w:r>
    </w:p>
    <w:p w14:paraId="6187B768">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授权代表签字：</w:t>
      </w:r>
    </w:p>
    <w:p w14:paraId="2E93F171">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投标人名称（盖章）：         </w:t>
      </w:r>
    </w:p>
    <w:p w14:paraId="2AD942DD">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    期：</w:t>
      </w:r>
    </w:p>
    <w:p w14:paraId="23376334">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附：法定代表人</w:t>
      </w:r>
      <w:r>
        <w:rPr>
          <w:rFonts w:hint="eastAsia" w:ascii="仿宋" w:hAnsi="仿宋" w:eastAsia="仿宋" w:cs="仿宋"/>
          <w:color w:val="auto"/>
          <w:sz w:val="28"/>
          <w:szCs w:val="28"/>
          <w:highlight w:val="none"/>
          <w:lang w:val="en-US" w:eastAsia="zh-CN"/>
        </w:rPr>
        <w:t>及被授权人</w:t>
      </w:r>
      <w:r>
        <w:rPr>
          <w:rFonts w:hint="eastAsia" w:ascii="仿宋" w:hAnsi="仿宋" w:eastAsia="仿宋" w:cs="仿宋"/>
          <w:color w:val="auto"/>
          <w:sz w:val="28"/>
          <w:szCs w:val="28"/>
          <w:highlight w:val="none"/>
        </w:rPr>
        <w:t>身份证身印件　　</w:t>
      </w:r>
    </w:p>
    <w:p w14:paraId="6F63E294">
      <w:pPr>
        <w:spacing w:line="520" w:lineRule="exact"/>
        <w:ind w:firstLine="537" w:firstLineChars="192"/>
        <w:rPr>
          <w:rFonts w:hint="eastAsia" w:ascii="仿宋" w:hAnsi="仿宋" w:eastAsia="仿宋" w:cs="仿宋"/>
          <w:color w:val="auto"/>
          <w:sz w:val="28"/>
          <w:szCs w:val="28"/>
          <w:highlight w:val="none"/>
        </w:rPr>
      </w:pPr>
    </w:p>
    <w:p w14:paraId="76D7CAC3">
      <w:pPr>
        <w:pStyle w:val="23"/>
        <w:spacing w:line="520"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（若法定代表人亲自参加投标活动，需提供法定代表人身份证明，格式如下）</w:t>
      </w:r>
    </w:p>
    <w:p w14:paraId="4F8A8B28">
      <w:pPr>
        <w:pStyle w:val="38"/>
        <w:spacing w:line="520" w:lineRule="exact"/>
        <w:jc w:val="center"/>
        <w:rPr>
          <w:rFonts w:hint="eastAsia" w:ascii="仿宋" w:hAnsi="仿宋" w:eastAsia="仿宋" w:cs="仿宋"/>
          <w:color w:val="auto"/>
          <w:sz w:val="28"/>
          <w:szCs w:val="28"/>
          <w:highlight w:val="none"/>
        </w:rPr>
      </w:pPr>
      <w:r>
        <w:rPr>
          <w:rStyle w:val="45"/>
          <w:rFonts w:hint="eastAsia" w:ascii="仿宋" w:hAnsi="仿宋" w:eastAsia="仿宋" w:cs="仿宋"/>
          <w:color w:val="auto"/>
          <w:sz w:val="28"/>
          <w:szCs w:val="28"/>
          <w:highlight w:val="none"/>
        </w:rPr>
        <w:t>法定代表人身份证明书</w:t>
      </w:r>
    </w:p>
    <w:p w14:paraId="1109622A">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×××（姓名、性别、年龄）在我公司（或者企业、单位）任×××（董事长、总经理等）职务，是我公司（或者企业、单位）的法定代表人。　　</w:t>
      </w:r>
    </w:p>
    <w:p w14:paraId="30079690">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特此证明。　　</w:t>
      </w:r>
    </w:p>
    <w:p w14:paraId="49D845A7">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×××公司（单位全称加盖公章） 　　</w:t>
      </w:r>
    </w:p>
    <w:p w14:paraId="08F50165">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×年×月×日 　　</w:t>
      </w:r>
    </w:p>
    <w:p w14:paraId="3A433E7B">
      <w:pPr>
        <w:spacing w:line="520" w:lineRule="exact"/>
        <w:ind w:firstLine="560" w:firstLineChars="200"/>
        <w:rPr>
          <w:rFonts w:hint="eastAsia" w:ascii="仿宋" w:hAnsi="仿宋" w:eastAsia="仿宋" w:cs="仿宋"/>
          <w:color w:val="auto"/>
          <w:sz w:val="28"/>
          <w:szCs w:val="28"/>
          <w:highlight w:val="none"/>
        </w:rPr>
      </w:pPr>
    </w:p>
    <w:p w14:paraId="40C0D6C4">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法定代表人住址： 　　</w:t>
      </w:r>
    </w:p>
    <w:p w14:paraId="40FBEE20">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电话： </w:t>
      </w:r>
    </w:p>
    <w:p w14:paraId="1BEB220F">
      <w:pPr>
        <w:spacing w:line="52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附：法定代表人身份证身印件　　</w:t>
      </w:r>
    </w:p>
    <w:p w14:paraId="53A118F7">
      <w:pPr>
        <w:spacing w:line="500" w:lineRule="exact"/>
        <w:ind w:firstLine="463" w:firstLineChars="192"/>
        <w:rPr>
          <w:rFonts w:hint="eastAsia" w:asciiTheme="minorEastAsia" w:hAnsiTheme="minorEastAsia" w:eastAsiaTheme="minorEastAsia"/>
          <w:b/>
          <w:color w:val="auto"/>
          <w:szCs w:val="28"/>
          <w:highlight w:val="none"/>
        </w:rPr>
        <w:sectPr>
          <w:headerReference r:id="rId3" w:type="default"/>
          <w:footerReference r:id="rId4" w:type="default"/>
          <w:pgSz w:w="11907" w:h="16840"/>
          <w:pgMar w:top="1440" w:right="1466" w:bottom="1440" w:left="1440" w:header="851" w:footer="992" w:gutter="0"/>
          <w:cols w:space="425" w:num="1"/>
          <w:docGrid w:linePitch="312" w:charSpace="0"/>
        </w:sectPr>
      </w:pPr>
    </w:p>
    <w:p w14:paraId="0DB15EB0">
      <w:pPr>
        <w:autoSpaceDE w:val="0"/>
        <w:autoSpaceDN w:val="0"/>
        <w:adjustRightInd w:val="0"/>
        <w:snapToGrid w:val="0"/>
        <w:spacing w:line="360" w:lineRule="auto"/>
        <w:jc w:val="left"/>
        <w:outlineLvl w:val="1"/>
        <w:rPr>
          <w:rFonts w:hint="eastAsia" w:ascii="仿宋" w:hAnsi="仿宋" w:eastAsia="仿宋" w:cs="仿宋"/>
          <w:b/>
          <w:color w:val="auto"/>
          <w:w w:val="99"/>
          <w:kern w:val="0"/>
          <w:sz w:val="28"/>
          <w:szCs w:val="28"/>
          <w:highlight w:val="none"/>
          <w:lang w:val="zh-CN"/>
        </w:rPr>
      </w:pPr>
      <w:r>
        <w:rPr>
          <w:rFonts w:hint="eastAsia" w:ascii="仿宋" w:hAnsi="仿宋" w:eastAsia="仿宋" w:cs="仿宋"/>
          <w:b/>
          <w:color w:val="auto"/>
          <w:w w:val="99"/>
          <w:kern w:val="0"/>
          <w:sz w:val="28"/>
          <w:szCs w:val="28"/>
          <w:highlight w:val="none"/>
          <w:lang w:val="zh-CN"/>
        </w:rPr>
        <w:t>三、投标人基本情况表</w:t>
      </w:r>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2338C5F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688A4EC4">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投标人名称</w:t>
            </w:r>
          </w:p>
        </w:tc>
        <w:tc>
          <w:tcPr>
            <w:tcW w:w="7308" w:type="dxa"/>
            <w:gridSpan w:val="9"/>
            <w:vAlign w:val="center"/>
          </w:tcPr>
          <w:p w14:paraId="1CFCA453">
            <w:pPr>
              <w:spacing w:line="500" w:lineRule="exact"/>
              <w:rPr>
                <w:rFonts w:hint="eastAsia" w:ascii="宋体" w:hAnsi="宋体" w:cs="宋体"/>
                <w:color w:val="auto"/>
                <w:kern w:val="0"/>
                <w:sz w:val="21"/>
                <w:szCs w:val="21"/>
                <w:highlight w:val="none"/>
              </w:rPr>
            </w:pPr>
          </w:p>
        </w:tc>
      </w:tr>
      <w:tr w14:paraId="54721C2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540E7475">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注册地址</w:t>
            </w:r>
          </w:p>
        </w:tc>
        <w:tc>
          <w:tcPr>
            <w:tcW w:w="3165" w:type="dxa"/>
            <w:gridSpan w:val="5"/>
            <w:vAlign w:val="center"/>
          </w:tcPr>
          <w:p w14:paraId="49969866">
            <w:pPr>
              <w:spacing w:line="500" w:lineRule="exact"/>
              <w:rPr>
                <w:rFonts w:hint="eastAsia" w:ascii="宋体" w:hAnsi="宋体" w:cs="宋体"/>
                <w:color w:val="auto"/>
                <w:kern w:val="0"/>
                <w:sz w:val="21"/>
                <w:szCs w:val="21"/>
                <w:highlight w:val="none"/>
              </w:rPr>
            </w:pPr>
          </w:p>
        </w:tc>
        <w:tc>
          <w:tcPr>
            <w:tcW w:w="1319" w:type="dxa"/>
            <w:vAlign w:val="center"/>
          </w:tcPr>
          <w:p w14:paraId="31617079">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邮政编码</w:t>
            </w:r>
          </w:p>
        </w:tc>
        <w:tc>
          <w:tcPr>
            <w:tcW w:w="2824" w:type="dxa"/>
            <w:gridSpan w:val="3"/>
            <w:vAlign w:val="center"/>
          </w:tcPr>
          <w:p w14:paraId="0224AF9F">
            <w:pPr>
              <w:spacing w:line="500" w:lineRule="exact"/>
              <w:rPr>
                <w:rFonts w:hint="eastAsia" w:ascii="宋体" w:hAnsi="宋体" w:cs="宋体"/>
                <w:color w:val="auto"/>
                <w:kern w:val="0"/>
                <w:sz w:val="21"/>
                <w:szCs w:val="21"/>
                <w:highlight w:val="none"/>
              </w:rPr>
            </w:pPr>
          </w:p>
        </w:tc>
      </w:tr>
      <w:tr w14:paraId="50F7F28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38B02479">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联系方式</w:t>
            </w:r>
          </w:p>
        </w:tc>
        <w:tc>
          <w:tcPr>
            <w:tcW w:w="1080" w:type="dxa"/>
            <w:gridSpan w:val="2"/>
            <w:vAlign w:val="center"/>
          </w:tcPr>
          <w:p w14:paraId="587407ED">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联系人</w:t>
            </w:r>
          </w:p>
        </w:tc>
        <w:tc>
          <w:tcPr>
            <w:tcW w:w="2077" w:type="dxa"/>
            <w:gridSpan w:val="2"/>
            <w:vAlign w:val="center"/>
          </w:tcPr>
          <w:p w14:paraId="7661045C">
            <w:pPr>
              <w:spacing w:line="500" w:lineRule="exact"/>
              <w:rPr>
                <w:rFonts w:hint="eastAsia" w:ascii="宋体" w:hAnsi="宋体" w:cs="宋体"/>
                <w:color w:val="auto"/>
                <w:kern w:val="0"/>
                <w:sz w:val="21"/>
                <w:szCs w:val="21"/>
                <w:highlight w:val="none"/>
              </w:rPr>
            </w:pPr>
          </w:p>
        </w:tc>
        <w:tc>
          <w:tcPr>
            <w:tcW w:w="1327" w:type="dxa"/>
            <w:gridSpan w:val="2"/>
            <w:vAlign w:val="center"/>
          </w:tcPr>
          <w:p w14:paraId="02F12188">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电话</w:t>
            </w:r>
          </w:p>
        </w:tc>
        <w:tc>
          <w:tcPr>
            <w:tcW w:w="2824" w:type="dxa"/>
            <w:gridSpan w:val="3"/>
            <w:vAlign w:val="center"/>
          </w:tcPr>
          <w:p w14:paraId="77A0054A">
            <w:pPr>
              <w:spacing w:line="500" w:lineRule="exact"/>
              <w:rPr>
                <w:rFonts w:hint="eastAsia" w:ascii="宋体" w:hAnsi="宋体" w:cs="宋体"/>
                <w:color w:val="auto"/>
                <w:kern w:val="0"/>
                <w:sz w:val="21"/>
                <w:szCs w:val="21"/>
                <w:highlight w:val="none"/>
              </w:rPr>
            </w:pPr>
          </w:p>
        </w:tc>
      </w:tr>
      <w:tr w14:paraId="0B55670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531F0AC4">
            <w:pPr>
              <w:spacing w:line="500" w:lineRule="exact"/>
              <w:rPr>
                <w:rFonts w:hint="eastAsia" w:ascii="宋体" w:hAnsi="宋体" w:cs="宋体"/>
                <w:color w:val="auto"/>
                <w:kern w:val="0"/>
                <w:sz w:val="21"/>
                <w:szCs w:val="21"/>
                <w:highlight w:val="none"/>
              </w:rPr>
            </w:pPr>
          </w:p>
        </w:tc>
        <w:tc>
          <w:tcPr>
            <w:tcW w:w="1080" w:type="dxa"/>
            <w:gridSpan w:val="2"/>
            <w:vAlign w:val="center"/>
          </w:tcPr>
          <w:p w14:paraId="68ECDB1D">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传真</w:t>
            </w:r>
          </w:p>
        </w:tc>
        <w:tc>
          <w:tcPr>
            <w:tcW w:w="2077" w:type="dxa"/>
            <w:gridSpan w:val="2"/>
            <w:vAlign w:val="center"/>
          </w:tcPr>
          <w:p w14:paraId="619EE689">
            <w:pPr>
              <w:spacing w:line="500" w:lineRule="exact"/>
              <w:rPr>
                <w:rFonts w:hint="eastAsia" w:ascii="宋体" w:hAnsi="宋体" w:cs="宋体"/>
                <w:color w:val="auto"/>
                <w:kern w:val="0"/>
                <w:sz w:val="21"/>
                <w:szCs w:val="21"/>
                <w:highlight w:val="none"/>
              </w:rPr>
            </w:pPr>
          </w:p>
        </w:tc>
        <w:tc>
          <w:tcPr>
            <w:tcW w:w="1327" w:type="dxa"/>
            <w:gridSpan w:val="2"/>
            <w:vAlign w:val="center"/>
          </w:tcPr>
          <w:p w14:paraId="27FF1167">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网址</w:t>
            </w:r>
          </w:p>
        </w:tc>
        <w:tc>
          <w:tcPr>
            <w:tcW w:w="2824" w:type="dxa"/>
            <w:gridSpan w:val="3"/>
            <w:vAlign w:val="center"/>
          </w:tcPr>
          <w:p w14:paraId="7F4B6B04">
            <w:pPr>
              <w:spacing w:line="500" w:lineRule="exact"/>
              <w:rPr>
                <w:rFonts w:hint="eastAsia" w:ascii="宋体" w:hAnsi="宋体" w:cs="宋体"/>
                <w:color w:val="auto"/>
                <w:kern w:val="0"/>
                <w:sz w:val="21"/>
                <w:szCs w:val="21"/>
                <w:highlight w:val="none"/>
              </w:rPr>
            </w:pPr>
          </w:p>
        </w:tc>
      </w:tr>
      <w:tr w14:paraId="208637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5F1518">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组织结构</w:t>
            </w:r>
          </w:p>
        </w:tc>
        <w:tc>
          <w:tcPr>
            <w:tcW w:w="7308" w:type="dxa"/>
            <w:gridSpan w:val="9"/>
            <w:vAlign w:val="center"/>
          </w:tcPr>
          <w:p w14:paraId="68B91C79">
            <w:pPr>
              <w:spacing w:line="500" w:lineRule="exact"/>
              <w:rPr>
                <w:rFonts w:hint="eastAsia" w:ascii="宋体" w:hAnsi="宋体" w:cs="宋体"/>
                <w:color w:val="auto"/>
                <w:kern w:val="0"/>
                <w:sz w:val="21"/>
                <w:szCs w:val="21"/>
                <w:highlight w:val="none"/>
              </w:rPr>
            </w:pPr>
          </w:p>
        </w:tc>
      </w:tr>
      <w:tr w14:paraId="38AAD61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5801B424">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法定代表人</w:t>
            </w:r>
          </w:p>
        </w:tc>
        <w:tc>
          <w:tcPr>
            <w:tcW w:w="696" w:type="dxa"/>
            <w:vAlign w:val="center"/>
          </w:tcPr>
          <w:p w14:paraId="54689D85">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姓名</w:t>
            </w:r>
          </w:p>
        </w:tc>
        <w:tc>
          <w:tcPr>
            <w:tcW w:w="1284" w:type="dxa"/>
            <w:gridSpan w:val="2"/>
            <w:vAlign w:val="center"/>
          </w:tcPr>
          <w:p w14:paraId="4C6FEC5B">
            <w:pPr>
              <w:spacing w:line="500" w:lineRule="exact"/>
              <w:rPr>
                <w:rFonts w:hint="eastAsia" w:ascii="宋体" w:hAnsi="宋体" w:cs="宋体"/>
                <w:color w:val="auto"/>
                <w:kern w:val="0"/>
                <w:sz w:val="21"/>
                <w:szCs w:val="21"/>
                <w:highlight w:val="none"/>
              </w:rPr>
            </w:pPr>
          </w:p>
        </w:tc>
        <w:tc>
          <w:tcPr>
            <w:tcW w:w="1177" w:type="dxa"/>
            <w:vAlign w:val="center"/>
          </w:tcPr>
          <w:p w14:paraId="7CCB2E41">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技术职称</w:t>
            </w:r>
          </w:p>
        </w:tc>
        <w:tc>
          <w:tcPr>
            <w:tcW w:w="1327" w:type="dxa"/>
            <w:gridSpan w:val="2"/>
            <w:vAlign w:val="center"/>
          </w:tcPr>
          <w:p w14:paraId="19BA7398">
            <w:pPr>
              <w:spacing w:line="500" w:lineRule="exact"/>
              <w:rPr>
                <w:rFonts w:hint="eastAsia" w:ascii="宋体" w:hAnsi="宋体" w:cs="宋体"/>
                <w:color w:val="auto"/>
                <w:kern w:val="0"/>
                <w:sz w:val="21"/>
                <w:szCs w:val="21"/>
                <w:highlight w:val="none"/>
              </w:rPr>
            </w:pPr>
          </w:p>
        </w:tc>
        <w:tc>
          <w:tcPr>
            <w:tcW w:w="1173" w:type="dxa"/>
            <w:gridSpan w:val="2"/>
            <w:vAlign w:val="center"/>
          </w:tcPr>
          <w:p w14:paraId="20F14AFD">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电话</w:t>
            </w:r>
          </w:p>
        </w:tc>
        <w:tc>
          <w:tcPr>
            <w:tcW w:w="1651" w:type="dxa"/>
            <w:vAlign w:val="center"/>
          </w:tcPr>
          <w:p w14:paraId="63D68B4C">
            <w:pPr>
              <w:spacing w:line="500" w:lineRule="exact"/>
              <w:rPr>
                <w:rFonts w:hint="eastAsia" w:ascii="宋体" w:hAnsi="宋体" w:cs="宋体"/>
                <w:b/>
                <w:bCs/>
                <w:color w:val="auto"/>
                <w:kern w:val="0"/>
                <w:sz w:val="21"/>
                <w:szCs w:val="21"/>
                <w:highlight w:val="none"/>
              </w:rPr>
            </w:pPr>
          </w:p>
        </w:tc>
      </w:tr>
      <w:tr w14:paraId="22F686F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0CE36D39">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技术负责人</w:t>
            </w:r>
          </w:p>
        </w:tc>
        <w:tc>
          <w:tcPr>
            <w:tcW w:w="696" w:type="dxa"/>
            <w:vAlign w:val="center"/>
          </w:tcPr>
          <w:p w14:paraId="0BE1E0C7">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姓名</w:t>
            </w:r>
          </w:p>
        </w:tc>
        <w:tc>
          <w:tcPr>
            <w:tcW w:w="1284" w:type="dxa"/>
            <w:gridSpan w:val="2"/>
            <w:vAlign w:val="center"/>
          </w:tcPr>
          <w:p w14:paraId="7378E731">
            <w:pPr>
              <w:spacing w:line="500" w:lineRule="exact"/>
              <w:rPr>
                <w:rFonts w:hint="eastAsia" w:ascii="宋体" w:hAnsi="宋体" w:cs="宋体"/>
                <w:color w:val="auto"/>
                <w:kern w:val="0"/>
                <w:sz w:val="21"/>
                <w:szCs w:val="21"/>
                <w:highlight w:val="none"/>
              </w:rPr>
            </w:pPr>
          </w:p>
        </w:tc>
        <w:tc>
          <w:tcPr>
            <w:tcW w:w="1177" w:type="dxa"/>
            <w:vAlign w:val="center"/>
          </w:tcPr>
          <w:p w14:paraId="004A25C9">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技术职称</w:t>
            </w:r>
          </w:p>
        </w:tc>
        <w:tc>
          <w:tcPr>
            <w:tcW w:w="1327" w:type="dxa"/>
            <w:gridSpan w:val="2"/>
            <w:vAlign w:val="center"/>
          </w:tcPr>
          <w:p w14:paraId="3798418C">
            <w:pPr>
              <w:spacing w:line="500" w:lineRule="exact"/>
              <w:rPr>
                <w:rFonts w:hint="eastAsia" w:ascii="宋体" w:hAnsi="宋体" w:cs="宋体"/>
                <w:color w:val="auto"/>
                <w:kern w:val="0"/>
                <w:sz w:val="21"/>
                <w:szCs w:val="21"/>
                <w:highlight w:val="none"/>
              </w:rPr>
            </w:pPr>
          </w:p>
        </w:tc>
        <w:tc>
          <w:tcPr>
            <w:tcW w:w="1173" w:type="dxa"/>
            <w:gridSpan w:val="2"/>
            <w:vAlign w:val="center"/>
          </w:tcPr>
          <w:p w14:paraId="6717742C">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电话</w:t>
            </w:r>
          </w:p>
        </w:tc>
        <w:tc>
          <w:tcPr>
            <w:tcW w:w="1651" w:type="dxa"/>
            <w:vAlign w:val="center"/>
          </w:tcPr>
          <w:p w14:paraId="09D09BD2">
            <w:pPr>
              <w:spacing w:line="500" w:lineRule="exact"/>
              <w:rPr>
                <w:rFonts w:hint="eastAsia" w:ascii="宋体" w:hAnsi="宋体" w:cs="宋体"/>
                <w:b/>
                <w:bCs/>
                <w:color w:val="auto"/>
                <w:kern w:val="0"/>
                <w:sz w:val="21"/>
                <w:szCs w:val="21"/>
                <w:highlight w:val="none"/>
              </w:rPr>
            </w:pPr>
          </w:p>
        </w:tc>
      </w:tr>
      <w:tr w14:paraId="29DC85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A50DCB">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成立时间</w:t>
            </w:r>
          </w:p>
        </w:tc>
        <w:tc>
          <w:tcPr>
            <w:tcW w:w="1980" w:type="dxa"/>
            <w:gridSpan w:val="3"/>
            <w:vAlign w:val="center"/>
          </w:tcPr>
          <w:p w14:paraId="650F10F1">
            <w:pPr>
              <w:spacing w:line="500" w:lineRule="exact"/>
              <w:rPr>
                <w:rFonts w:hint="eastAsia" w:ascii="宋体" w:hAnsi="宋体" w:cs="宋体"/>
                <w:color w:val="auto"/>
                <w:kern w:val="0"/>
                <w:sz w:val="21"/>
                <w:szCs w:val="21"/>
                <w:highlight w:val="none"/>
              </w:rPr>
            </w:pPr>
          </w:p>
        </w:tc>
        <w:tc>
          <w:tcPr>
            <w:tcW w:w="5328" w:type="dxa"/>
            <w:gridSpan w:val="6"/>
            <w:vAlign w:val="center"/>
          </w:tcPr>
          <w:p w14:paraId="0E09D27C">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员工总人数：</w:t>
            </w:r>
          </w:p>
        </w:tc>
      </w:tr>
      <w:tr w14:paraId="20555D3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0C082636">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企业资质等级</w:t>
            </w:r>
          </w:p>
        </w:tc>
        <w:tc>
          <w:tcPr>
            <w:tcW w:w="1980" w:type="dxa"/>
            <w:gridSpan w:val="3"/>
            <w:vAlign w:val="center"/>
          </w:tcPr>
          <w:p w14:paraId="2FAE9E90">
            <w:pPr>
              <w:spacing w:line="500" w:lineRule="exact"/>
              <w:rPr>
                <w:rFonts w:hint="eastAsia" w:ascii="宋体" w:hAnsi="宋体" w:cs="宋体"/>
                <w:color w:val="auto"/>
                <w:kern w:val="0"/>
                <w:sz w:val="21"/>
                <w:szCs w:val="21"/>
                <w:highlight w:val="none"/>
              </w:rPr>
            </w:pPr>
          </w:p>
        </w:tc>
        <w:tc>
          <w:tcPr>
            <w:tcW w:w="1177" w:type="dxa"/>
            <w:vMerge w:val="restart"/>
            <w:vAlign w:val="center"/>
          </w:tcPr>
          <w:p w14:paraId="5905D5F3">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其中</w:t>
            </w:r>
          </w:p>
        </w:tc>
        <w:tc>
          <w:tcPr>
            <w:tcW w:w="1883" w:type="dxa"/>
            <w:gridSpan w:val="3"/>
            <w:vAlign w:val="center"/>
          </w:tcPr>
          <w:p w14:paraId="4FEDAABC">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项目经理</w:t>
            </w:r>
          </w:p>
        </w:tc>
        <w:tc>
          <w:tcPr>
            <w:tcW w:w="2268" w:type="dxa"/>
            <w:gridSpan w:val="2"/>
            <w:vAlign w:val="center"/>
          </w:tcPr>
          <w:p w14:paraId="6BBBD7DE">
            <w:pPr>
              <w:spacing w:line="500" w:lineRule="exact"/>
              <w:rPr>
                <w:rFonts w:hint="eastAsia" w:ascii="宋体" w:hAnsi="宋体" w:cs="宋体"/>
                <w:b/>
                <w:bCs/>
                <w:color w:val="auto"/>
                <w:kern w:val="0"/>
                <w:sz w:val="21"/>
                <w:szCs w:val="21"/>
                <w:highlight w:val="none"/>
              </w:rPr>
            </w:pPr>
          </w:p>
        </w:tc>
      </w:tr>
      <w:tr w14:paraId="50BF88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05E66466">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营业执照号</w:t>
            </w:r>
          </w:p>
        </w:tc>
        <w:tc>
          <w:tcPr>
            <w:tcW w:w="1980" w:type="dxa"/>
            <w:gridSpan w:val="3"/>
            <w:vAlign w:val="center"/>
          </w:tcPr>
          <w:p w14:paraId="72A646DD">
            <w:pPr>
              <w:spacing w:line="500" w:lineRule="exact"/>
              <w:rPr>
                <w:rFonts w:hint="eastAsia" w:ascii="宋体" w:hAnsi="宋体" w:cs="宋体"/>
                <w:color w:val="auto"/>
                <w:kern w:val="0"/>
                <w:sz w:val="21"/>
                <w:szCs w:val="21"/>
                <w:highlight w:val="none"/>
              </w:rPr>
            </w:pPr>
          </w:p>
        </w:tc>
        <w:tc>
          <w:tcPr>
            <w:tcW w:w="1177" w:type="dxa"/>
            <w:vMerge w:val="continue"/>
            <w:vAlign w:val="center"/>
          </w:tcPr>
          <w:p w14:paraId="6FF973C2">
            <w:pPr>
              <w:spacing w:line="500" w:lineRule="exact"/>
              <w:rPr>
                <w:rFonts w:hint="eastAsia" w:ascii="宋体" w:hAnsi="宋体" w:cs="宋体"/>
                <w:color w:val="auto"/>
                <w:kern w:val="0"/>
                <w:sz w:val="21"/>
                <w:szCs w:val="21"/>
                <w:highlight w:val="none"/>
              </w:rPr>
            </w:pPr>
          </w:p>
        </w:tc>
        <w:tc>
          <w:tcPr>
            <w:tcW w:w="1883" w:type="dxa"/>
            <w:gridSpan w:val="3"/>
            <w:vAlign w:val="center"/>
          </w:tcPr>
          <w:p w14:paraId="4FDAD3D5">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高级职称人员</w:t>
            </w:r>
          </w:p>
        </w:tc>
        <w:tc>
          <w:tcPr>
            <w:tcW w:w="2268" w:type="dxa"/>
            <w:gridSpan w:val="2"/>
            <w:vAlign w:val="center"/>
          </w:tcPr>
          <w:p w14:paraId="18FD840C">
            <w:pPr>
              <w:spacing w:line="500" w:lineRule="exact"/>
              <w:rPr>
                <w:rFonts w:hint="eastAsia" w:ascii="宋体" w:hAnsi="宋体" w:cs="宋体"/>
                <w:b/>
                <w:bCs/>
                <w:color w:val="auto"/>
                <w:kern w:val="0"/>
                <w:sz w:val="21"/>
                <w:szCs w:val="21"/>
                <w:highlight w:val="none"/>
              </w:rPr>
            </w:pPr>
          </w:p>
        </w:tc>
      </w:tr>
      <w:tr w14:paraId="6C9823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5EF36612">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注册资金</w:t>
            </w:r>
          </w:p>
        </w:tc>
        <w:tc>
          <w:tcPr>
            <w:tcW w:w="1980" w:type="dxa"/>
            <w:gridSpan w:val="3"/>
            <w:vAlign w:val="center"/>
          </w:tcPr>
          <w:p w14:paraId="3A9FB92D">
            <w:pPr>
              <w:spacing w:line="500" w:lineRule="exact"/>
              <w:rPr>
                <w:rFonts w:hint="eastAsia" w:ascii="宋体" w:hAnsi="宋体" w:cs="宋体"/>
                <w:color w:val="auto"/>
                <w:kern w:val="0"/>
                <w:sz w:val="21"/>
                <w:szCs w:val="21"/>
                <w:highlight w:val="none"/>
              </w:rPr>
            </w:pPr>
          </w:p>
        </w:tc>
        <w:tc>
          <w:tcPr>
            <w:tcW w:w="1177" w:type="dxa"/>
            <w:vMerge w:val="continue"/>
            <w:vAlign w:val="center"/>
          </w:tcPr>
          <w:p w14:paraId="1C8FB7C2">
            <w:pPr>
              <w:spacing w:line="500" w:lineRule="exact"/>
              <w:rPr>
                <w:rFonts w:hint="eastAsia" w:ascii="宋体" w:hAnsi="宋体" w:cs="宋体"/>
                <w:color w:val="auto"/>
                <w:kern w:val="0"/>
                <w:sz w:val="21"/>
                <w:szCs w:val="21"/>
                <w:highlight w:val="none"/>
              </w:rPr>
            </w:pPr>
          </w:p>
        </w:tc>
        <w:tc>
          <w:tcPr>
            <w:tcW w:w="1883" w:type="dxa"/>
            <w:gridSpan w:val="3"/>
            <w:vAlign w:val="center"/>
          </w:tcPr>
          <w:p w14:paraId="50896119">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中级职称人员</w:t>
            </w:r>
          </w:p>
        </w:tc>
        <w:tc>
          <w:tcPr>
            <w:tcW w:w="2268" w:type="dxa"/>
            <w:gridSpan w:val="2"/>
            <w:vAlign w:val="center"/>
          </w:tcPr>
          <w:p w14:paraId="415ECAD5">
            <w:pPr>
              <w:spacing w:line="500" w:lineRule="exact"/>
              <w:rPr>
                <w:rFonts w:hint="eastAsia" w:ascii="宋体" w:hAnsi="宋体" w:cs="宋体"/>
                <w:b/>
                <w:bCs/>
                <w:color w:val="auto"/>
                <w:kern w:val="0"/>
                <w:sz w:val="21"/>
                <w:szCs w:val="21"/>
                <w:highlight w:val="none"/>
              </w:rPr>
            </w:pPr>
          </w:p>
        </w:tc>
      </w:tr>
      <w:tr w14:paraId="5E4C6CA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2398875B">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开户银行</w:t>
            </w:r>
          </w:p>
        </w:tc>
        <w:tc>
          <w:tcPr>
            <w:tcW w:w="1980" w:type="dxa"/>
            <w:gridSpan w:val="3"/>
            <w:vAlign w:val="center"/>
          </w:tcPr>
          <w:p w14:paraId="2D8D6B47">
            <w:pPr>
              <w:spacing w:line="500" w:lineRule="exact"/>
              <w:rPr>
                <w:rFonts w:hint="eastAsia" w:ascii="宋体" w:hAnsi="宋体" w:cs="宋体"/>
                <w:color w:val="auto"/>
                <w:kern w:val="0"/>
                <w:sz w:val="21"/>
                <w:szCs w:val="21"/>
                <w:highlight w:val="none"/>
              </w:rPr>
            </w:pPr>
          </w:p>
        </w:tc>
        <w:tc>
          <w:tcPr>
            <w:tcW w:w="1177" w:type="dxa"/>
            <w:vMerge w:val="continue"/>
            <w:vAlign w:val="center"/>
          </w:tcPr>
          <w:p w14:paraId="255945A2">
            <w:pPr>
              <w:spacing w:line="500" w:lineRule="exact"/>
              <w:rPr>
                <w:rFonts w:hint="eastAsia" w:ascii="宋体" w:hAnsi="宋体" w:cs="宋体"/>
                <w:color w:val="auto"/>
                <w:kern w:val="0"/>
                <w:sz w:val="21"/>
                <w:szCs w:val="21"/>
                <w:highlight w:val="none"/>
              </w:rPr>
            </w:pPr>
          </w:p>
        </w:tc>
        <w:tc>
          <w:tcPr>
            <w:tcW w:w="1883" w:type="dxa"/>
            <w:gridSpan w:val="3"/>
            <w:vAlign w:val="center"/>
          </w:tcPr>
          <w:p w14:paraId="6CD10C39">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初级职称人员</w:t>
            </w:r>
          </w:p>
        </w:tc>
        <w:tc>
          <w:tcPr>
            <w:tcW w:w="2268" w:type="dxa"/>
            <w:gridSpan w:val="2"/>
            <w:vAlign w:val="center"/>
          </w:tcPr>
          <w:p w14:paraId="2ACEE5A3">
            <w:pPr>
              <w:spacing w:line="500" w:lineRule="exact"/>
              <w:rPr>
                <w:rFonts w:hint="eastAsia" w:ascii="宋体" w:hAnsi="宋体" w:cs="宋体"/>
                <w:b/>
                <w:bCs/>
                <w:color w:val="auto"/>
                <w:kern w:val="0"/>
                <w:sz w:val="21"/>
                <w:szCs w:val="21"/>
                <w:highlight w:val="none"/>
              </w:rPr>
            </w:pPr>
          </w:p>
        </w:tc>
      </w:tr>
      <w:tr w14:paraId="75CA0A2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34F1966B">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账号</w:t>
            </w:r>
          </w:p>
        </w:tc>
        <w:tc>
          <w:tcPr>
            <w:tcW w:w="1980" w:type="dxa"/>
            <w:gridSpan w:val="3"/>
            <w:vAlign w:val="center"/>
          </w:tcPr>
          <w:p w14:paraId="3324467C">
            <w:pPr>
              <w:spacing w:line="500" w:lineRule="exact"/>
              <w:rPr>
                <w:rFonts w:hint="eastAsia" w:ascii="宋体" w:hAnsi="宋体" w:cs="宋体"/>
                <w:color w:val="auto"/>
                <w:kern w:val="0"/>
                <w:sz w:val="21"/>
                <w:szCs w:val="21"/>
                <w:highlight w:val="none"/>
              </w:rPr>
            </w:pPr>
          </w:p>
        </w:tc>
        <w:tc>
          <w:tcPr>
            <w:tcW w:w="1177" w:type="dxa"/>
            <w:vMerge w:val="continue"/>
            <w:vAlign w:val="center"/>
          </w:tcPr>
          <w:p w14:paraId="11B0E50E">
            <w:pPr>
              <w:spacing w:line="500" w:lineRule="exact"/>
              <w:rPr>
                <w:rFonts w:hint="eastAsia" w:ascii="宋体" w:hAnsi="宋体" w:cs="宋体"/>
                <w:color w:val="auto"/>
                <w:kern w:val="0"/>
                <w:sz w:val="21"/>
                <w:szCs w:val="21"/>
                <w:highlight w:val="none"/>
              </w:rPr>
            </w:pPr>
          </w:p>
        </w:tc>
        <w:tc>
          <w:tcPr>
            <w:tcW w:w="1883" w:type="dxa"/>
            <w:gridSpan w:val="3"/>
            <w:vAlign w:val="center"/>
          </w:tcPr>
          <w:p w14:paraId="4A50140A">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技工</w:t>
            </w:r>
          </w:p>
        </w:tc>
        <w:tc>
          <w:tcPr>
            <w:tcW w:w="2268" w:type="dxa"/>
            <w:gridSpan w:val="2"/>
            <w:vAlign w:val="center"/>
          </w:tcPr>
          <w:p w14:paraId="7D1DA82F">
            <w:pPr>
              <w:spacing w:line="500" w:lineRule="exact"/>
              <w:rPr>
                <w:rFonts w:hint="eastAsia" w:ascii="宋体" w:hAnsi="宋体" w:cs="宋体"/>
                <w:b/>
                <w:bCs/>
                <w:color w:val="auto"/>
                <w:kern w:val="0"/>
                <w:sz w:val="21"/>
                <w:szCs w:val="21"/>
                <w:highlight w:val="none"/>
              </w:rPr>
            </w:pPr>
          </w:p>
        </w:tc>
      </w:tr>
      <w:tr w14:paraId="159F250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62F3AC51">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经营范围</w:t>
            </w:r>
          </w:p>
        </w:tc>
        <w:tc>
          <w:tcPr>
            <w:tcW w:w="7308" w:type="dxa"/>
            <w:gridSpan w:val="9"/>
            <w:vAlign w:val="center"/>
          </w:tcPr>
          <w:p w14:paraId="392683E8">
            <w:pPr>
              <w:spacing w:line="500" w:lineRule="exact"/>
              <w:rPr>
                <w:rFonts w:hint="eastAsia" w:ascii="宋体" w:hAnsi="宋体" w:cs="宋体"/>
                <w:b/>
                <w:bCs/>
                <w:color w:val="auto"/>
                <w:kern w:val="0"/>
                <w:sz w:val="21"/>
                <w:szCs w:val="21"/>
                <w:highlight w:val="none"/>
              </w:rPr>
            </w:pPr>
          </w:p>
        </w:tc>
      </w:tr>
      <w:tr w14:paraId="1B3F219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155BB3BE">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备注</w:t>
            </w:r>
          </w:p>
        </w:tc>
        <w:tc>
          <w:tcPr>
            <w:tcW w:w="7308" w:type="dxa"/>
            <w:gridSpan w:val="9"/>
            <w:vAlign w:val="center"/>
          </w:tcPr>
          <w:p w14:paraId="7A0B36B8">
            <w:pPr>
              <w:spacing w:line="500" w:lineRule="exact"/>
              <w:rPr>
                <w:rFonts w:hint="eastAsia" w:ascii="宋体" w:hAnsi="宋体" w:cs="宋体"/>
                <w:color w:val="auto"/>
                <w:kern w:val="0"/>
                <w:sz w:val="21"/>
                <w:szCs w:val="21"/>
                <w:highlight w:val="none"/>
              </w:rPr>
            </w:pPr>
          </w:p>
        </w:tc>
      </w:tr>
    </w:tbl>
    <w:p w14:paraId="5FF945BF">
      <w:pPr>
        <w:spacing w:line="500" w:lineRule="exact"/>
        <w:rPr>
          <w:rFonts w:hint="eastAsia" w:asciiTheme="minorEastAsia" w:hAnsiTheme="minorEastAsia" w:eastAsiaTheme="minorEastAsia"/>
          <w:b/>
          <w:color w:val="auto"/>
          <w:szCs w:val="28"/>
          <w:highlight w:val="none"/>
        </w:rPr>
      </w:pPr>
    </w:p>
    <w:p w14:paraId="78F595B0">
      <w:pPr>
        <w:spacing w:line="500" w:lineRule="exact"/>
        <w:rPr>
          <w:rFonts w:hint="eastAsia" w:asciiTheme="minorEastAsia" w:hAnsiTheme="minorEastAsia" w:eastAsiaTheme="minorEastAsia"/>
          <w:bCs/>
          <w:color w:val="auto"/>
          <w:sz w:val="28"/>
          <w:szCs w:val="28"/>
          <w:highlight w:val="none"/>
        </w:rPr>
      </w:pPr>
      <w:r>
        <w:rPr>
          <w:rFonts w:hint="eastAsia" w:asciiTheme="minorEastAsia" w:hAnsiTheme="minorEastAsia" w:eastAsiaTheme="minorEastAsia"/>
          <w:bCs/>
          <w:color w:val="auto"/>
          <w:sz w:val="28"/>
          <w:szCs w:val="28"/>
          <w:highlight w:val="none"/>
        </w:rPr>
        <w:t>投标人名称：        （盖章）</w:t>
      </w:r>
    </w:p>
    <w:p w14:paraId="007C70F6">
      <w:pPr>
        <w:spacing w:line="500" w:lineRule="exact"/>
        <w:rPr>
          <w:rFonts w:hint="eastAsia" w:asciiTheme="minorEastAsia" w:hAnsiTheme="minorEastAsia" w:eastAsiaTheme="minorEastAsia"/>
          <w:bCs/>
          <w:color w:val="auto"/>
          <w:sz w:val="28"/>
          <w:szCs w:val="28"/>
          <w:highlight w:val="none"/>
        </w:rPr>
      </w:pPr>
      <w:r>
        <w:rPr>
          <w:rFonts w:hint="eastAsia" w:asciiTheme="minorEastAsia" w:hAnsiTheme="minorEastAsia" w:eastAsiaTheme="minorEastAsia"/>
          <w:color w:val="auto"/>
          <w:sz w:val="28"/>
          <w:szCs w:val="28"/>
          <w:highlight w:val="none"/>
        </w:rPr>
        <w:t>法定代表人或授权代表（签字）</w:t>
      </w:r>
      <w:r>
        <w:rPr>
          <w:rFonts w:hint="eastAsia" w:asciiTheme="minorEastAsia" w:hAnsiTheme="minorEastAsia" w:eastAsiaTheme="minorEastAsia"/>
          <w:bCs/>
          <w:color w:val="auto"/>
          <w:sz w:val="28"/>
          <w:szCs w:val="28"/>
          <w:highlight w:val="none"/>
        </w:rPr>
        <w:t>：</w:t>
      </w:r>
    </w:p>
    <w:p w14:paraId="41062FC2">
      <w:pPr>
        <w:spacing w:line="500" w:lineRule="exact"/>
        <w:rPr>
          <w:rFonts w:hint="eastAsia" w:asciiTheme="minorEastAsia" w:hAnsiTheme="minorEastAsia" w:eastAsiaTheme="minorEastAsia"/>
          <w:bCs/>
          <w:color w:val="auto"/>
          <w:sz w:val="28"/>
          <w:szCs w:val="28"/>
          <w:highlight w:val="none"/>
        </w:rPr>
      </w:pPr>
      <w:r>
        <w:rPr>
          <w:rFonts w:hint="eastAsia" w:asciiTheme="minorEastAsia" w:hAnsiTheme="minorEastAsia" w:eastAsiaTheme="minorEastAsia"/>
          <w:bCs/>
          <w:color w:val="auto"/>
          <w:sz w:val="28"/>
          <w:szCs w:val="28"/>
          <w:highlight w:val="none"/>
        </w:rPr>
        <w:t>投标日期:</w:t>
      </w:r>
    </w:p>
    <w:p w14:paraId="25630DA1">
      <w:pPr>
        <w:spacing w:line="500" w:lineRule="exact"/>
        <w:ind w:firstLine="616" w:firstLineChars="257"/>
        <w:rPr>
          <w:rFonts w:hint="eastAsia" w:asciiTheme="minorEastAsia" w:hAnsiTheme="minorEastAsia" w:eastAsiaTheme="minorEastAsia"/>
          <w:color w:val="auto"/>
          <w:highlight w:val="none"/>
        </w:rPr>
      </w:pPr>
    </w:p>
    <w:p w14:paraId="640EAADC">
      <w:pPr>
        <w:rPr>
          <w:rFonts w:hint="eastAsia" w:asciiTheme="minorEastAsia" w:hAnsiTheme="minorEastAsia" w:eastAsiaTheme="minorEastAsia"/>
          <w:b/>
          <w:color w:val="auto"/>
          <w:sz w:val="28"/>
          <w:szCs w:val="28"/>
          <w:highlight w:val="none"/>
        </w:rPr>
      </w:pPr>
    </w:p>
    <w:p w14:paraId="21BD9DCE">
      <w:pPr>
        <w:autoSpaceDE w:val="0"/>
        <w:autoSpaceDN w:val="0"/>
        <w:adjustRightInd w:val="0"/>
        <w:snapToGrid w:val="0"/>
        <w:spacing w:line="360" w:lineRule="auto"/>
        <w:jc w:val="left"/>
        <w:outlineLvl w:val="1"/>
        <w:rPr>
          <w:rFonts w:hint="eastAsia" w:ascii="仿宋" w:hAnsi="仿宋" w:eastAsia="仿宋" w:cs="仿宋"/>
          <w:b/>
          <w:color w:val="auto"/>
          <w:w w:val="99"/>
          <w:kern w:val="0"/>
          <w:sz w:val="28"/>
          <w:szCs w:val="28"/>
          <w:highlight w:val="none"/>
          <w:lang w:val="zh-CN"/>
        </w:rPr>
      </w:pPr>
      <w:r>
        <w:rPr>
          <w:rFonts w:hint="eastAsia" w:ascii="仿宋" w:hAnsi="仿宋" w:eastAsia="仿宋" w:cs="仿宋"/>
          <w:b/>
          <w:color w:val="auto"/>
          <w:w w:val="99"/>
          <w:kern w:val="0"/>
          <w:sz w:val="28"/>
          <w:szCs w:val="28"/>
          <w:highlight w:val="none"/>
          <w:lang w:val="zh-CN"/>
        </w:rPr>
        <w:t>四、响应文件</w:t>
      </w:r>
    </w:p>
    <w:p w14:paraId="7A65A16E">
      <w:pPr>
        <w:spacing w:line="500" w:lineRule="exact"/>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（根据招标要求由投标人自行编写）</w:t>
      </w:r>
    </w:p>
    <w:p w14:paraId="025BA030">
      <w:pPr>
        <w:spacing w:line="500" w:lineRule="exact"/>
        <w:rPr>
          <w:rFonts w:hint="default" w:ascii="仿宋" w:hAnsi="仿宋" w:eastAsia="仿宋" w:cs="仿宋"/>
          <w:bCs/>
          <w:color w:val="auto"/>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请列出技术偏离情况表</w:t>
      </w:r>
    </w:p>
    <w:p w14:paraId="101CF555">
      <w:pPr>
        <w:spacing w:line="500" w:lineRule="exact"/>
        <w:rPr>
          <w:rFonts w:hint="eastAsia" w:asciiTheme="minorEastAsia" w:hAnsiTheme="minorEastAsia" w:eastAsiaTheme="minorEastAsia"/>
          <w:bCs/>
          <w:color w:val="auto"/>
          <w:szCs w:val="28"/>
          <w:highlight w:val="none"/>
        </w:rPr>
      </w:pPr>
    </w:p>
    <w:p w14:paraId="41FC7195">
      <w:pPr>
        <w:spacing w:line="500" w:lineRule="exact"/>
        <w:rPr>
          <w:rFonts w:hint="eastAsia" w:asciiTheme="minorEastAsia" w:hAnsiTheme="minorEastAsia" w:eastAsiaTheme="minorEastAsia"/>
          <w:bCs/>
          <w:color w:val="auto"/>
          <w:szCs w:val="28"/>
          <w:highlight w:val="none"/>
        </w:rPr>
      </w:pPr>
    </w:p>
    <w:p w14:paraId="0C9E3859">
      <w:pPr>
        <w:spacing w:line="500" w:lineRule="exact"/>
        <w:rPr>
          <w:rFonts w:hint="eastAsia" w:asciiTheme="minorEastAsia" w:hAnsiTheme="minorEastAsia" w:eastAsiaTheme="minorEastAsia"/>
          <w:bCs/>
          <w:color w:val="auto"/>
          <w:szCs w:val="28"/>
          <w:highlight w:val="none"/>
        </w:rPr>
      </w:pPr>
    </w:p>
    <w:p w14:paraId="2CE4724B">
      <w:pPr>
        <w:spacing w:line="500" w:lineRule="exact"/>
        <w:rPr>
          <w:rFonts w:hint="eastAsia" w:asciiTheme="minorEastAsia" w:hAnsiTheme="minorEastAsia" w:eastAsiaTheme="minorEastAsia"/>
          <w:bCs/>
          <w:color w:val="auto"/>
          <w:szCs w:val="28"/>
          <w:highlight w:val="none"/>
        </w:rPr>
      </w:pPr>
    </w:p>
    <w:p w14:paraId="5301776B">
      <w:pPr>
        <w:spacing w:line="500" w:lineRule="exact"/>
        <w:rPr>
          <w:rFonts w:hint="eastAsia" w:asciiTheme="minorEastAsia" w:hAnsiTheme="minorEastAsia" w:eastAsiaTheme="minorEastAsia"/>
          <w:bCs/>
          <w:color w:val="auto"/>
          <w:szCs w:val="28"/>
          <w:highlight w:val="none"/>
        </w:rPr>
      </w:pPr>
    </w:p>
    <w:p w14:paraId="7A4F2B58">
      <w:pPr>
        <w:spacing w:line="500" w:lineRule="exact"/>
        <w:rPr>
          <w:rFonts w:hint="eastAsia" w:asciiTheme="minorEastAsia" w:hAnsiTheme="minorEastAsia" w:eastAsiaTheme="minorEastAsia"/>
          <w:bCs/>
          <w:color w:val="auto"/>
          <w:szCs w:val="28"/>
          <w:highlight w:val="none"/>
        </w:rPr>
      </w:pPr>
    </w:p>
    <w:p w14:paraId="4A3EC940">
      <w:pPr>
        <w:spacing w:line="500" w:lineRule="exact"/>
        <w:rPr>
          <w:rFonts w:hint="eastAsia" w:asciiTheme="minorEastAsia" w:hAnsiTheme="minorEastAsia" w:eastAsiaTheme="minorEastAsia"/>
          <w:bCs/>
          <w:color w:val="auto"/>
          <w:szCs w:val="28"/>
          <w:highlight w:val="none"/>
        </w:rPr>
      </w:pPr>
    </w:p>
    <w:p w14:paraId="65BB86DF">
      <w:pPr>
        <w:spacing w:line="500" w:lineRule="exact"/>
        <w:rPr>
          <w:rFonts w:hint="eastAsia" w:asciiTheme="minorEastAsia" w:hAnsiTheme="minorEastAsia" w:eastAsiaTheme="minorEastAsia"/>
          <w:bCs/>
          <w:color w:val="auto"/>
          <w:szCs w:val="28"/>
          <w:highlight w:val="none"/>
        </w:rPr>
      </w:pPr>
    </w:p>
    <w:p w14:paraId="6632050E">
      <w:pPr>
        <w:spacing w:line="500" w:lineRule="exact"/>
        <w:rPr>
          <w:rFonts w:hint="eastAsia" w:asciiTheme="minorEastAsia" w:hAnsiTheme="minorEastAsia" w:eastAsiaTheme="minorEastAsia"/>
          <w:bCs/>
          <w:color w:val="auto"/>
          <w:szCs w:val="28"/>
          <w:highlight w:val="none"/>
        </w:rPr>
      </w:pPr>
    </w:p>
    <w:p w14:paraId="27F8E771">
      <w:pPr>
        <w:spacing w:line="500" w:lineRule="exact"/>
        <w:rPr>
          <w:rFonts w:hint="eastAsia" w:asciiTheme="minorEastAsia" w:hAnsiTheme="minorEastAsia" w:eastAsiaTheme="minorEastAsia"/>
          <w:bCs/>
          <w:color w:val="auto"/>
          <w:szCs w:val="28"/>
          <w:highlight w:val="none"/>
        </w:rPr>
      </w:pPr>
    </w:p>
    <w:p w14:paraId="12D3AF79">
      <w:pPr>
        <w:spacing w:line="500" w:lineRule="exact"/>
        <w:rPr>
          <w:rFonts w:hint="eastAsia" w:asciiTheme="minorEastAsia" w:hAnsiTheme="minorEastAsia" w:eastAsiaTheme="minorEastAsia"/>
          <w:bCs/>
          <w:color w:val="auto"/>
          <w:szCs w:val="28"/>
          <w:highlight w:val="none"/>
        </w:rPr>
      </w:pPr>
    </w:p>
    <w:p w14:paraId="5DFF6B21">
      <w:pPr>
        <w:spacing w:line="500" w:lineRule="exact"/>
        <w:rPr>
          <w:rFonts w:hint="eastAsia" w:asciiTheme="minorEastAsia" w:hAnsiTheme="minorEastAsia" w:eastAsiaTheme="minorEastAsia"/>
          <w:bCs/>
          <w:color w:val="auto"/>
          <w:szCs w:val="28"/>
          <w:highlight w:val="none"/>
        </w:rPr>
      </w:pPr>
    </w:p>
    <w:p w14:paraId="2ABDB758">
      <w:pPr>
        <w:spacing w:line="500" w:lineRule="exact"/>
        <w:rPr>
          <w:rFonts w:hint="eastAsia" w:asciiTheme="minorEastAsia" w:hAnsiTheme="minorEastAsia" w:eastAsiaTheme="minorEastAsia"/>
          <w:bCs/>
          <w:color w:val="auto"/>
          <w:szCs w:val="28"/>
          <w:highlight w:val="none"/>
        </w:rPr>
      </w:pPr>
    </w:p>
    <w:p w14:paraId="4B2F6317">
      <w:pPr>
        <w:spacing w:line="500" w:lineRule="exact"/>
        <w:rPr>
          <w:rFonts w:hint="eastAsia" w:asciiTheme="minorEastAsia" w:hAnsiTheme="minorEastAsia" w:eastAsiaTheme="minorEastAsia"/>
          <w:bCs/>
          <w:color w:val="auto"/>
          <w:szCs w:val="28"/>
          <w:highlight w:val="none"/>
        </w:rPr>
      </w:pPr>
    </w:p>
    <w:p w14:paraId="73F94511">
      <w:pPr>
        <w:spacing w:line="500" w:lineRule="exact"/>
        <w:rPr>
          <w:rFonts w:hint="eastAsia" w:asciiTheme="minorEastAsia" w:hAnsiTheme="minorEastAsia" w:eastAsiaTheme="minorEastAsia"/>
          <w:bCs/>
          <w:color w:val="auto"/>
          <w:szCs w:val="28"/>
          <w:highlight w:val="none"/>
        </w:rPr>
      </w:pPr>
    </w:p>
    <w:p w14:paraId="3CDB839A">
      <w:pPr>
        <w:spacing w:line="500" w:lineRule="exact"/>
        <w:rPr>
          <w:rFonts w:hint="eastAsia" w:asciiTheme="minorEastAsia" w:hAnsiTheme="minorEastAsia" w:eastAsiaTheme="minorEastAsia"/>
          <w:bCs/>
          <w:color w:val="auto"/>
          <w:szCs w:val="28"/>
          <w:highlight w:val="none"/>
        </w:rPr>
      </w:pPr>
    </w:p>
    <w:p w14:paraId="4C549079">
      <w:pPr>
        <w:spacing w:line="500" w:lineRule="exact"/>
        <w:rPr>
          <w:rFonts w:hint="eastAsia" w:asciiTheme="minorEastAsia" w:hAnsiTheme="minorEastAsia" w:eastAsiaTheme="minorEastAsia"/>
          <w:bCs/>
          <w:color w:val="auto"/>
          <w:szCs w:val="28"/>
          <w:highlight w:val="none"/>
        </w:rPr>
      </w:pPr>
    </w:p>
    <w:p w14:paraId="63375084">
      <w:pPr>
        <w:spacing w:line="500" w:lineRule="exact"/>
        <w:rPr>
          <w:rFonts w:hint="eastAsia" w:asciiTheme="minorEastAsia" w:hAnsiTheme="minorEastAsia" w:eastAsiaTheme="minorEastAsia"/>
          <w:bCs/>
          <w:color w:val="auto"/>
          <w:szCs w:val="28"/>
          <w:highlight w:val="none"/>
        </w:rPr>
      </w:pPr>
    </w:p>
    <w:p w14:paraId="5C18BAA2">
      <w:pPr>
        <w:spacing w:line="500" w:lineRule="exact"/>
        <w:rPr>
          <w:rFonts w:hint="eastAsia" w:asciiTheme="minorEastAsia" w:hAnsiTheme="minorEastAsia" w:eastAsiaTheme="minorEastAsia"/>
          <w:bCs/>
          <w:color w:val="auto"/>
          <w:szCs w:val="28"/>
          <w:highlight w:val="none"/>
        </w:rPr>
      </w:pPr>
    </w:p>
    <w:p w14:paraId="3BBCBB28">
      <w:pPr>
        <w:spacing w:line="500" w:lineRule="exact"/>
        <w:rPr>
          <w:rFonts w:hint="eastAsia" w:asciiTheme="minorEastAsia" w:hAnsiTheme="minorEastAsia" w:eastAsiaTheme="minorEastAsia"/>
          <w:bCs/>
          <w:color w:val="auto"/>
          <w:szCs w:val="28"/>
          <w:highlight w:val="none"/>
        </w:rPr>
      </w:pPr>
    </w:p>
    <w:p w14:paraId="5264D35C">
      <w:pPr>
        <w:spacing w:line="500" w:lineRule="exact"/>
        <w:rPr>
          <w:rFonts w:hint="eastAsia" w:asciiTheme="minorEastAsia" w:hAnsiTheme="minorEastAsia" w:eastAsiaTheme="minorEastAsia"/>
          <w:bCs/>
          <w:color w:val="auto"/>
          <w:szCs w:val="28"/>
          <w:highlight w:val="none"/>
        </w:rPr>
      </w:pPr>
    </w:p>
    <w:p w14:paraId="010D447F">
      <w:pPr>
        <w:spacing w:line="500" w:lineRule="exact"/>
        <w:rPr>
          <w:rFonts w:hint="eastAsia" w:asciiTheme="minorEastAsia" w:hAnsiTheme="minorEastAsia" w:eastAsiaTheme="minorEastAsia"/>
          <w:bCs/>
          <w:color w:val="auto"/>
          <w:szCs w:val="28"/>
          <w:highlight w:val="none"/>
        </w:rPr>
      </w:pPr>
    </w:p>
    <w:p w14:paraId="750967F8">
      <w:pPr>
        <w:spacing w:line="500" w:lineRule="exact"/>
        <w:rPr>
          <w:rFonts w:hint="eastAsia" w:asciiTheme="minorEastAsia" w:hAnsiTheme="minorEastAsia" w:eastAsiaTheme="minorEastAsia"/>
          <w:bCs/>
          <w:color w:val="auto"/>
          <w:szCs w:val="28"/>
          <w:highlight w:val="none"/>
        </w:rPr>
      </w:pPr>
    </w:p>
    <w:p w14:paraId="04E678E7">
      <w:pPr>
        <w:spacing w:line="500" w:lineRule="exact"/>
        <w:rPr>
          <w:rFonts w:hint="eastAsia" w:asciiTheme="minorEastAsia" w:hAnsiTheme="minorEastAsia" w:eastAsiaTheme="minorEastAsia"/>
          <w:bCs/>
          <w:color w:val="auto"/>
          <w:szCs w:val="28"/>
          <w:highlight w:val="none"/>
        </w:rPr>
      </w:pPr>
    </w:p>
    <w:p w14:paraId="0A48C912">
      <w:pPr>
        <w:rPr>
          <w:rFonts w:hint="eastAsia" w:ascii="仿宋" w:hAnsi="仿宋" w:eastAsia="仿宋" w:cs="仿宋"/>
          <w:b/>
          <w:color w:val="auto"/>
          <w:sz w:val="28"/>
          <w:szCs w:val="28"/>
          <w:highlight w:val="none"/>
        </w:rPr>
      </w:pPr>
    </w:p>
    <w:p w14:paraId="1623DAA3">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五、 </w:t>
      </w:r>
      <w:r>
        <w:rPr>
          <w:rFonts w:hint="eastAsia" w:ascii="仿宋" w:hAnsi="仿宋" w:eastAsia="仿宋" w:cs="仿宋"/>
          <w:b/>
          <w:color w:val="auto"/>
          <w:sz w:val="28"/>
          <w:szCs w:val="28"/>
          <w:highlight w:val="none"/>
          <w:lang w:val="en-US" w:eastAsia="zh-CN"/>
        </w:rPr>
        <w:t>培训方案及</w:t>
      </w:r>
      <w:r>
        <w:rPr>
          <w:rFonts w:hint="eastAsia" w:ascii="仿宋" w:hAnsi="仿宋" w:eastAsia="仿宋" w:cs="仿宋"/>
          <w:b/>
          <w:color w:val="auto"/>
          <w:sz w:val="28"/>
          <w:szCs w:val="28"/>
          <w:highlight w:val="none"/>
        </w:rPr>
        <w:t>售后</w:t>
      </w:r>
    </w:p>
    <w:p w14:paraId="25567C66">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（根据招标要求由投标人自行编写）                                   </w:t>
      </w:r>
    </w:p>
    <w:p w14:paraId="01EF2C20">
      <w:pPr>
        <w:rPr>
          <w:rFonts w:hint="eastAsia" w:ascii="仿宋" w:hAnsi="仿宋" w:eastAsia="仿宋" w:cs="仿宋"/>
          <w:b/>
          <w:color w:val="auto"/>
          <w:sz w:val="28"/>
          <w:szCs w:val="28"/>
          <w:highlight w:val="none"/>
        </w:rPr>
      </w:pPr>
    </w:p>
    <w:p w14:paraId="4F7C7DA6">
      <w:pPr>
        <w:rPr>
          <w:rFonts w:hint="eastAsia" w:ascii="仿宋" w:hAnsi="仿宋" w:eastAsia="仿宋" w:cs="仿宋"/>
          <w:b/>
          <w:color w:val="auto"/>
          <w:sz w:val="28"/>
          <w:szCs w:val="28"/>
          <w:highlight w:val="none"/>
        </w:rPr>
      </w:pPr>
    </w:p>
    <w:p w14:paraId="75ED21B8">
      <w:pPr>
        <w:rPr>
          <w:rFonts w:hint="eastAsia" w:ascii="仿宋" w:hAnsi="仿宋" w:eastAsia="仿宋" w:cs="仿宋"/>
          <w:b/>
          <w:color w:val="auto"/>
          <w:sz w:val="28"/>
          <w:szCs w:val="28"/>
          <w:highlight w:val="none"/>
        </w:rPr>
      </w:pPr>
    </w:p>
    <w:p w14:paraId="25338D93">
      <w:pPr>
        <w:rPr>
          <w:rFonts w:hint="eastAsia" w:ascii="仿宋" w:hAnsi="仿宋" w:eastAsia="仿宋" w:cs="仿宋"/>
          <w:b/>
          <w:color w:val="auto"/>
          <w:sz w:val="28"/>
          <w:szCs w:val="28"/>
          <w:highlight w:val="none"/>
        </w:rPr>
      </w:pPr>
    </w:p>
    <w:p w14:paraId="45CB1273">
      <w:pPr>
        <w:rPr>
          <w:rFonts w:hint="eastAsia" w:ascii="仿宋" w:hAnsi="仿宋" w:eastAsia="仿宋" w:cs="仿宋"/>
          <w:b/>
          <w:color w:val="auto"/>
          <w:sz w:val="28"/>
          <w:szCs w:val="28"/>
          <w:highlight w:val="none"/>
        </w:rPr>
      </w:pPr>
    </w:p>
    <w:p w14:paraId="1A8F9BA6">
      <w:pPr>
        <w:rPr>
          <w:rFonts w:hint="eastAsia" w:ascii="仿宋" w:hAnsi="仿宋" w:eastAsia="仿宋" w:cs="仿宋"/>
          <w:b/>
          <w:color w:val="auto"/>
          <w:sz w:val="28"/>
          <w:szCs w:val="28"/>
          <w:highlight w:val="none"/>
        </w:rPr>
      </w:pPr>
    </w:p>
    <w:p w14:paraId="1252E8ED">
      <w:pPr>
        <w:rPr>
          <w:rFonts w:hint="eastAsia" w:ascii="仿宋" w:hAnsi="仿宋" w:eastAsia="仿宋" w:cs="仿宋"/>
          <w:b/>
          <w:color w:val="auto"/>
          <w:sz w:val="28"/>
          <w:szCs w:val="28"/>
          <w:highlight w:val="none"/>
        </w:rPr>
      </w:pPr>
    </w:p>
    <w:p w14:paraId="11BE99BA">
      <w:pPr>
        <w:rPr>
          <w:rFonts w:hint="eastAsia" w:ascii="仿宋" w:hAnsi="仿宋" w:eastAsia="仿宋" w:cs="仿宋"/>
          <w:b/>
          <w:color w:val="auto"/>
          <w:sz w:val="28"/>
          <w:szCs w:val="28"/>
          <w:highlight w:val="none"/>
        </w:rPr>
      </w:pPr>
    </w:p>
    <w:p w14:paraId="581C2EF0">
      <w:pPr>
        <w:rPr>
          <w:rFonts w:hint="eastAsia" w:ascii="仿宋" w:hAnsi="仿宋" w:eastAsia="仿宋" w:cs="仿宋"/>
          <w:b/>
          <w:color w:val="auto"/>
          <w:sz w:val="28"/>
          <w:szCs w:val="28"/>
          <w:highlight w:val="none"/>
        </w:rPr>
      </w:pPr>
    </w:p>
    <w:p w14:paraId="4C419A22">
      <w:pPr>
        <w:rPr>
          <w:rFonts w:hint="eastAsia" w:ascii="仿宋" w:hAnsi="仿宋" w:eastAsia="仿宋" w:cs="仿宋"/>
          <w:b/>
          <w:color w:val="auto"/>
          <w:sz w:val="28"/>
          <w:szCs w:val="28"/>
          <w:highlight w:val="none"/>
        </w:rPr>
      </w:pPr>
    </w:p>
    <w:p w14:paraId="0BC2E83D">
      <w:pPr>
        <w:rPr>
          <w:rFonts w:hint="eastAsia" w:ascii="仿宋" w:hAnsi="仿宋" w:eastAsia="仿宋" w:cs="仿宋"/>
          <w:b/>
          <w:color w:val="auto"/>
          <w:sz w:val="28"/>
          <w:szCs w:val="28"/>
          <w:highlight w:val="none"/>
        </w:rPr>
      </w:pPr>
    </w:p>
    <w:p w14:paraId="4F54367D">
      <w:pPr>
        <w:rPr>
          <w:rFonts w:hint="eastAsia" w:ascii="仿宋" w:hAnsi="仿宋" w:eastAsia="仿宋" w:cs="仿宋"/>
          <w:b/>
          <w:color w:val="auto"/>
          <w:sz w:val="28"/>
          <w:szCs w:val="28"/>
          <w:highlight w:val="none"/>
        </w:rPr>
      </w:pPr>
    </w:p>
    <w:p w14:paraId="6CBB3A71">
      <w:pPr>
        <w:rPr>
          <w:rFonts w:hint="eastAsia" w:ascii="仿宋" w:hAnsi="仿宋" w:eastAsia="仿宋" w:cs="仿宋"/>
          <w:b/>
          <w:color w:val="auto"/>
          <w:sz w:val="28"/>
          <w:szCs w:val="28"/>
          <w:highlight w:val="none"/>
        </w:rPr>
      </w:pPr>
    </w:p>
    <w:p w14:paraId="65BDE381">
      <w:pPr>
        <w:rPr>
          <w:rFonts w:hint="eastAsia" w:ascii="仿宋" w:hAnsi="仿宋" w:eastAsia="仿宋" w:cs="仿宋"/>
          <w:b/>
          <w:color w:val="auto"/>
          <w:sz w:val="28"/>
          <w:szCs w:val="28"/>
          <w:highlight w:val="none"/>
        </w:rPr>
      </w:pPr>
    </w:p>
    <w:p w14:paraId="40CDBFC7">
      <w:pPr>
        <w:rPr>
          <w:rFonts w:hint="eastAsia" w:ascii="仿宋" w:hAnsi="仿宋" w:eastAsia="仿宋" w:cs="仿宋"/>
          <w:b/>
          <w:color w:val="auto"/>
          <w:sz w:val="28"/>
          <w:szCs w:val="28"/>
          <w:highlight w:val="none"/>
        </w:rPr>
      </w:pPr>
    </w:p>
    <w:p w14:paraId="30430F0F">
      <w:pPr>
        <w:rPr>
          <w:rFonts w:hint="eastAsia" w:ascii="仿宋" w:hAnsi="仿宋" w:eastAsia="仿宋" w:cs="仿宋"/>
          <w:b/>
          <w:color w:val="auto"/>
          <w:sz w:val="28"/>
          <w:szCs w:val="28"/>
          <w:highlight w:val="none"/>
        </w:rPr>
      </w:pPr>
    </w:p>
    <w:p w14:paraId="17A57D28">
      <w:pPr>
        <w:rPr>
          <w:rFonts w:hint="eastAsia" w:ascii="仿宋" w:hAnsi="仿宋" w:eastAsia="仿宋" w:cs="仿宋"/>
          <w:b/>
          <w:color w:val="auto"/>
          <w:sz w:val="28"/>
          <w:szCs w:val="28"/>
          <w:highlight w:val="none"/>
        </w:rPr>
      </w:pPr>
    </w:p>
    <w:p w14:paraId="42BF1EAE">
      <w:pPr>
        <w:rPr>
          <w:rFonts w:hint="eastAsia" w:ascii="仿宋" w:hAnsi="仿宋" w:eastAsia="仿宋" w:cs="仿宋"/>
          <w:b/>
          <w:color w:val="auto"/>
          <w:sz w:val="28"/>
          <w:szCs w:val="28"/>
          <w:highlight w:val="none"/>
        </w:rPr>
      </w:pPr>
    </w:p>
    <w:p w14:paraId="3908C710">
      <w:pPr>
        <w:rPr>
          <w:rFonts w:hint="eastAsia" w:ascii="仿宋" w:hAnsi="仿宋" w:eastAsia="仿宋" w:cs="仿宋"/>
          <w:b/>
          <w:color w:val="auto"/>
          <w:sz w:val="28"/>
          <w:szCs w:val="28"/>
          <w:highlight w:val="none"/>
        </w:rPr>
      </w:pPr>
    </w:p>
    <w:p w14:paraId="20C98017">
      <w:pPr>
        <w:rPr>
          <w:rFonts w:hint="eastAsia" w:ascii="仿宋" w:hAnsi="仿宋" w:eastAsia="仿宋" w:cs="仿宋"/>
          <w:b/>
          <w:color w:val="auto"/>
          <w:sz w:val="28"/>
          <w:szCs w:val="28"/>
          <w:highlight w:val="none"/>
        </w:rPr>
      </w:pPr>
    </w:p>
    <w:p w14:paraId="6D43AC93">
      <w:pPr>
        <w:rPr>
          <w:rFonts w:hint="eastAsia" w:ascii="仿宋" w:hAnsi="仿宋" w:eastAsia="仿宋" w:cs="仿宋"/>
          <w:b/>
          <w:color w:val="auto"/>
          <w:sz w:val="28"/>
          <w:szCs w:val="28"/>
          <w:highlight w:val="none"/>
        </w:rPr>
      </w:pPr>
    </w:p>
    <w:p w14:paraId="58406269">
      <w:pPr>
        <w:rPr>
          <w:rFonts w:hint="eastAsia" w:ascii="仿宋" w:hAnsi="仿宋" w:eastAsia="仿宋" w:cs="仿宋"/>
          <w:b/>
          <w:color w:val="auto"/>
          <w:sz w:val="28"/>
          <w:szCs w:val="28"/>
          <w:highlight w:val="none"/>
        </w:rPr>
      </w:pPr>
    </w:p>
    <w:p w14:paraId="390C3C46">
      <w:pPr>
        <w:rPr>
          <w:rFonts w:hint="eastAsia" w:ascii="仿宋" w:hAnsi="仿宋" w:eastAsia="仿宋" w:cs="仿宋"/>
          <w:b/>
          <w:color w:val="auto"/>
          <w:sz w:val="28"/>
          <w:szCs w:val="28"/>
          <w:highlight w:val="none"/>
        </w:rPr>
      </w:pPr>
    </w:p>
    <w:p w14:paraId="25711303">
      <w:pPr>
        <w:rPr>
          <w:rFonts w:hint="eastAsia" w:ascii="仿宋" w:hAnsi="仿宋" w:eastAsia="仿宋" w:cs="仿宋"/>
          <w:b/>
          <w:color w:val="auto"/>
          <w:sz w:val="28"/>
          <w:szCs w:val="28"/>
          <w:highlight w:val="none"/>
        </w:rPr>
      </w:pPr>
    </w:p>
    <w:p w14:paraId="7DF31BCC">
      <w:pPr>
        <w:rPr>
          <w:rFonts w:hint="eastAsia" w:ascii="仿宋" w:hAnsi="仿宋" w:eastAsia="仿宋" w:cs="仿宋"/>
          <w:b/>
          <w:color w:val="auto"/>
          <w:sz w:val="28"/>
          <w:szCs w:val="28"/>
          <w:highlight w:val="none"/>
        </w:rPr>
      </w:pPr>
    </w:p>
    <w:p w14:paraId="727E6CC6">
      <w:pPr>
        <w:rPr>
          <w:rFonts w:hint="eastAsia" w:ascii="仿宋" w:hAnsi="仿宋" w:eastAsia="仿宋" w:cs="仿宋"/>
          <w:b/>
          <w:color w:val="auto"/>
          <w:sz w:val="28"/>
          <w:szCs w:val="28"/>
          <w:highlight w:val="none"/>
        </w:rPr>
      </w:pPr>
    </w:p>
    <w:p w14:paraId="771FD7F2">
      <w:pPr>
        <w:rPr>
          <w:rFonts w:hint="eastAsia" w:ascii="仿宋" w:hAnsi="仿宋" w:eastAsia="仿宋" w:cs="仿宋"/>
          <w:b/>
          <w:color w:val="auto"/>
          <w:sz w:val="28"/>
          <w:szCs w:val="28"/>
          <w:highlight w:val="none"/>
        </w:rPr>
      </w:pPr>
    </w:p>
    <w:p w14:paraId="1BAC4E09">
      <w:pPr>
        <w:rPr>
          <w:rFonts w:hint="eastAsia" w:ascii="仿宋" w:hAnsi="仿宋" w:eastAsia="仿宋" w:cs="仿宋"/>
          <w:b/>
          <w:color w:val="auto"/>
          <w:sz w:val="28"/>
          <w:szCs w:val="28"/>
          <w:highlight w:val="none"/>
        </w:rPr>
      </w:pPr>
    </w:p>
    <w:p w14:paraId="3C3A7122">
      <w:pPr>
        <w:rPr>
          <w:rFonts w:hint="eastAsia" w:ascii="仿宋" w:hAnsi="仿宋" w:eastAsia="仿宋" w:cs="仿宋"/>
          <w:b/>
          <w:color w:val="auto"/>
          <w:sz w:val="28"/>
          <w:szCs w:val="28"/>
          <w:highlight w:val="none"/>
        </w:rPr>
      </w:pPr>
    </w:p>
    <w:p w14:paraId="2912F23B">
      <w:pPr>
        <w:rPr>
          <w:rFonts w:hint="eastAsia" w:ascii="仿宋" w:hAnsi="仿宋" w:eastAsia="仿宋" w:cs="仿宋"/>
          <w:b/>
          <w:color w:val="auto"/>
          <w:sz w:val="28"/>
          <w:szCs w:val="28"/>
          <w:highlight w:val="none"/>
        </w:rPr>
      </w:pPr>
    </w:p>
    <w:p w14:paraId="56E382D8">
      <w:pPr>
        <w:rPr>
          <w:rFonts w:hint="eastAsia" w:ascii="仿宋" w:hAnsi="仿宋" w:eastAsia="仿宋" w:cs="仿宋"/>
          <w:b/>
          <w:color w:val="auto"/>
          <w:sz w:val="28"/>
          <w:szCs w:val="28"/>
          <w:highlight w:val="none"/>
        </w:rPr>
      </w:pPr>
    </w:p>
    <w:p w14:paraId="711F8842">
      <w:pPr>
        <w:rPr>
          <w:rFonts w:hint="eastAsia" w:ascii="仿宋" w:hAnsi="仿宋" w:eastAsia="仿宋" w:cs="仿宋"/>
          <w:b/>
          <w:color w:val="auto"/>
          <w:sz w:val="28"/>
          <w:szCs w:val="28"/>
          <w:highlight w:val="none"/>
        </w:rPr>
      </w:pPr>
    </w:p>
    <w:p w14:paraId="61BB4C7A">
      <w:pPr>
        <w:rPr>
          <w:rFonts w:hint="eastAsia" w:ascii="仿宋" w:hAnsi="仿宋" w:eastAsia="仿宋" w:cs="仿宋"/>
          <w:b/>
          <w:color w:val="auto"/>
          <w:sz w:val="28"/>
          <w:szCs w:val="28"/>
          <w:highlight w:val="none"/>
        </w:rPr>
      </w:pPr>
    </w:p>
    <w:p w14:paraId="6971D1F0">
      <w:pPr>
        <w:rPr>
          <w:rFonts w:hint="eastAsia" w:ascii="仿宋" w:hAnsi="仿宋" w:eastAsia="仿宋" w:cs="仿宋"/>
          <w:b/>
          <w:color w:val="auto"/>
          <w:sz w:val="28"/>
          <w:szCs w:val="28"/>
          <w:highlight w:val="none"/>
        </w:rPr>
      </w:pPr>
    </w:p>
    <w:p w14:paraId="4E8FDA6C">
      <w:pPr>
        <w:pStyle w:val="41"/>
        <w:ind w:firstLine="281"/>
        <w:rPr>
          <w:rFonts w:hint="eastAsia" w:ascii="仿宋" w:hAnsi="仿宋" w:eastAsia="仿宋" w:cs="仿宋"/>
          <w:b/>
          <w:color w:val="auto"/>
          <w:sz w:val="28"/>
          <w:szCs w:val="28"/>
          <w:highlight w:val="none"/>
        </w:rPr>
      </w:pPr>
    </w:p>
    <w:p w14:paraId="5073AFEE">
      <w:pPr>
        <w:pStyle w:val="41"/>
        <w:ind w:firstLine="240"/>
        <w:rPr>
          <w:color w:val="auto"/>
          <w:highlight w:val="none"/>
        </w:rPr>
      </w:pPr>
    </w:p>
    <w:p w14:paraId="657BBCB6">
      <w:pPr>
        <w:numPr>
          <w:ilvl w:val="0"/>
          <w:numId w:val="11"/>
        </w:num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相关资质证明及承诺    </w:t>
      </w:r>
    </w:p>
    <w:p w14:paraId="2571362A">
      <w:pPr>
        <w:numPr>
          <w:ilvl w:val="0"/>
          <w:numId w:val="0"/>
        </w:numPr>
        <w:rPr>
          <w:rFonts w:hint="default" w:ascii="仿宋" w:hAnsi="仿宋" w:eastAsia="仿宋" w:cs="仿宋"/>
          <w:b/>
          <w:color w:val="auto"/>
          <w:sz w:val="28"/>
          <w:szCs w:val="28"/>
          <w:highlight w:val="none"/>
          <w:lang w:val="en-US" w:eastAsia="zh-CN"/>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
          <w:color w:val="auto"/>
          <w:sz w:val="28"/>
          <w:szCs w:val="28"/>
          <w:highlight w:val="none"/>
          <w:lang w:val="en-US" w:eastAsia="zh-CN"/>
        </w:rPr>
        <w:t>营业执照、</w:t>
      </w:r>
      <w:r>
        <w:rPr>
          <w:rFonts w:hint="eastAsia" w:ascii="仿宋" w:hAnsi="仿宋" w:eastAsia="仿宋" w:cs="仿宋"/>
          <w:b/>
          <w:color w:val="auto"/>
          <w:sz w:val="28"/>
          <w:szCs w:val="28"/>
          <w:highlight w:val="none"/>
        </w:rPr>
        <w:t xml:space="preserve"> </w:t>
      </w:r>
      <w:r>
        <w:rPr>
          <w:rFonts w:hint="eastAsia" w:ascii="仿宋" w:hAnsi="仿宋" w:eastAsia="仿宋" w:cs="仿宋"/>
          <w:b/>
          <w:color w:val="auto"/>
          <w:sz w:val="28"/>
          <w:szCs w:val="28"/>
          <w:highlight w:val="none"/>
          <w:lang w:val="en-US" w:eastAsia="zh-CN"/>
        </w:rPr>
        <w:t>员工持证、荣誉等</w:t>
      </w:r>
    </w:p>
    <w:p w14:paraId="279DCCEF">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七、投标业绩一览表</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14:paraId="31F70A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14:paraId="6BCBBB0C">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年份</w:t>
            </w:r>
          </w:p>
        </w:tc>
        <w:tc>
          <w:tcPr>
            <w:tcW w:w="1239" w:type="dxa"/>
            <w:vAlign w:val="center"/>
          </w:tcPr>
          <w:p w14:paraId="01D3AD7B">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用户名称</w:t>
            </w:r>
          </w:p>
        </w:tc>
        <w:tc>
          <w:tcPr>
            <w:tcW w:w="1260" w:type="dxa"/>
            <w:vAlign w:val="center"/>
          </w:tcPr>
          <w:p w14:paraId="30B2ED60">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项目名称</w:t>
            </w:r>
          </w:p>
        </w:tc>
        <w:tc>
          <w:tcPr>
            <w:tcW w:w="1620" w:type="dxa"/>
            <w:vAlign w:val="center"/>
          </w:tcPr>
          <w:p w14:paraId="5B493D5D">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完成时间或在建</w:t>
            </w:r>
          </w:p>
        </w:tc>
        <w:tc>
          <w:tcPr>
            <w:tcW w:w="1620" w:type="dxa"/>
            <w:tcBorders>
              <w:right w:val="single" w:color="auto" w:sz="4" w:space="0"/>
            </w:tcBorders>
            <w:vAlign w:val="center"/>
          </w:tcPr>
          <w:p w14:paraId="23C40030">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完成项目质量</w:t>
            </w:r>
          </w:p>
        </w:tc>
        <w:tc>
          <w:tcPr>
            <w:tcW w:w="1341" w:type="dxa"/>
            <w:tcBorders>
              <w:left w:val="single" w:color="auto" w:sz="4" w:space="0"/>
            </w:tcBorders>
            <w:vAlign w:val="center"/>
          </w:tcPr>
          <w:p w14:paraId="3147FE64">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备注</w:t>
            </w:r>
          </w:p>
        </w:tc>
      </w:tr>
      <w:tr w14:paraId="5F746E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D62AD6C">
            <w:pPr>
              <w:spacing w:line="500" w:lineRule="exact"/>
              <w:jc w:val="center"/>
              <w:rPr>
                <w:rFonts w:hint="eastAsia" w:ascii="宋体" w:hAnsi="宋体" w:cs="宋体"/>
                <w:color w:val="auto"/>
                <w:sz w:val="21"/>
                <w:szCs w:val="21"/>
                <w:highlight w:val="none"/>
              </w:rPr>
            </w:pPr>
          </w:p>
        </w:tc>
        <w:tc>
          <w:tcPr>
            <w:tcW w:w="1239" w:type="dxa"/>
            <w:vAlign w:val="center"/>
          </w:tcPr>
          <w:p w14:paraId="7DA4091C">
            <w:pPr>
              <w:spacing w:line="500" w:lineRule="exact"/>
              <w:jc w:val="center"/>
              <w:rPr>
                <w:rFonts w:hint="eastAsia" w:ascii="宋体" w:hAnsi="宋体" w:cs="宋体"/>
                <w:color w:val="auto"/>
                <w:sz w:val="21"/>
                <w:szCs w:val="21"/>
                <w:highlight w:val="none"/>
              </w:rPr>
            </w:pPr>
          </w:p>
        </w:tc>
        <w:tc>
          <w:tcPr>
            <w:tcW w:w="1260" w:type="dxa"/>
            <w:vAlign w:val="center"/>
          </w:tcPr>
          <w:p w14:paraId="18FE6133">
            <w:pPr>
              <w:spacing w:line="500" w:lineRule="exact"/>
              <w:jc w:val="center"/>
              <w:rPr>
                <w:rFonts w:hint="eastAsia" w:ascii="宋体" w:hAnsi="宋体" w:cs="宋体"/>
                <w:color w:val="auto"/>
                <w:sz w:val="21"/>
                <w:szCs w:val="21"/>
                <w:highlight w:val="none"/>
              </w:rPr>
            </w:pPr>
          </w:p>
        </w:tc>
        <w:tc>
          <w:tcPr>
            <w:tcW w:w="1620" w:type="dxa"/>
            <w:vAlign w:val="center"/>
          </w:tcPr>
          <w:p w14:paraId="71E395E6">
            <w:pPr>
              <w:spacing w:line="500" w:lineRule="exact"/>
              <w:jc w:val="center"/>
              <w:rPr>
                <w:rFonts w:hint="eastAsia" w:ascii="宋体" w:hAnsi="宋体" w:cs="宋体"/>
                <w:color w:val="auto"/>
                <w:sz w:val="21"/>
                <w:szCs w:val="21"/>
                <w:highlight w:val="none"/>
              </w:rPr>
            </w:pPr>
          </w:p>
        </w:tc>
        <w:tc>
          <w:tcPr>
            <w:tcW w:w="1620" w:type="dxa"/>
            <w:tcBorders>
              <w:right w:val="single" w:color="auto" w:sz="4" w:space="0"/>
            </w:tcBorders>
            <w:vAlign w:val="center"/>
          </w:tcPr>
          <w:p w14:paraId="42FA977C">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22923E80">
            <w:pPr>
              <w:spacing w:line="500" w:lineRule="exact"/>
              <w:jc w:val="center"/>
              <w:rPr>
                <w:rFonts w:hint="eastAsia" w:ascii="宋体" w:hAnsi="宋体" w:cs="宋体"/>
                <w:color w:val="auto"/>
                <w:sz w:val="21"/>
                <w:szCs w:val="21"/>
                <w:highlight w:val="none"/>
              </w:rPr>
            </w:pPr>
          </w:p>
        </w:tc>
      </w:tr>
      <w:tr w14:paraId="502552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10CB47BA">
            <w:pPr>
              <w:spacing w:line="500" w:lineRule="exact"/>
              <w:jc w:val="center"/>
              <w:rPr>
                <w:rFonts w:hint="eastAsia" w:ascii="宋体" w:hAnsi="宋体" w:cs="宋体"/>
                <w:color w:val="auto"/>
                <w:sz w:val="21"/>
                <w:szCs w:val="21"/>
                <w:highlight w:val="none"/>
              </w:rPr>
            </w:pPr>
          </w:p>
        </w:tc>
        <w:tc>
          <w:tcPr>
            <w:tcW w:w="1239" w:type="dxa"/>
            <w:vAlign w:val="center"/>
          </w:tcPr>
          <w:p w14:paraId="618B6636">
            <w:pPr>
              <w:spacing w:line="500" w:lineRule="exact"/>
              <w:jc w:val="center"/>
              <w:rPr>
                <w:rFonts w:hint="eastAsia" w:ascii="宋体" w:hAnsi="宋体" w:cs="宋体"/>
                <w:color w:val="auto"/>
                <w:sz w:val="21"/>
                <w:szCs w:val="21"/>
                <w:highlight w:val="none"/>
              </w:rPr>
            </w:pPr>
          </w:p>
        </w:tc>
        <w:tc>
          <w:tcPr>
            <w:tcW w:w="1260" w:type="dxa"/>
            <w:vAlign w:val="center"/>
          </w:tcPr>
          <w:p w14:paraId="3BDD15EF">
            <w:pPr>
              <w:spacing w:line="500" w:lineRule="exact"/>
              <w:jc w:val="center"/>
              <w:rPr>
                <w:rFonts w:hint="eastAsia" w:ascii="宋体" w:hAnsi="宋体" w:cs="宋体"/>
                <w:color w:val="auto"/>
                <w:sz w:val="21"/>
                <w:szCs w:val="21"/>
                <w:highlight w:val="none"/>
              </w:rPr>
            </w:pPr>
          </w:p>
        </w:tc>
        <w:tc>
          <w:tcPr>
            <w:tcW w:w="1620" w:type="dxa"/>
            <w:vAlign w:val="center"/>
          </w:tcPr>
          <w:p w14:paraId="2B9F5661">
            <w:pPr>
              <w:spacing w:line="500" w:lineRule="exact"/>
              <w:jc w:val="center"/>
              <w:rPr>
                <w:rFonts w:hint="eastAsia" w:ascii="宋体" w:hAnsi="宋体" w:cs="宋体"/>
                <w:color w:val="auto"/>
                <w:sz w:val="21"/>
                <w:szCs w:val="21"/>
                <w:highlight w:val="none"/>
              </w:rPr>
            </w:pPr>
          </w:p>
        </w:tc>
        <w:tc>
          <w:tcPr>
            <w:tcW w:w="1620" w:type="dxa"/>
            <w:tcBorders>
              <w:right w:val="single" w:color="auto" w:sz="4" w:space="0"/>
            </w:tcBorders>
            <w:vAlign w:val="center"/>
          </w:tcPr>
          <w:p w14:paraId="1AC197F0">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0FEE9DB8">
            <w:pPr>
              <w:spacing w:line="500" w:lineRule="exact"/>
              <w:jc w:val="center"/>
              <w:rPr>
                <w:rFonts w:hint="eastAsia" w:ascii="宋体" w:hAnsi="宋体" w:cs="宋体"/>
                <w:color w:val="auto"/>
                <w:sz w:val="21"/>
                <w:szCs w:val="21"/>
                <w:highlight w:val="none"/>
              </w:rPr>
            </w:pPr>
          </w:p>
        </w:tc>
      </w:tr>
      <w:tr w14:paraId="4E6A69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42EAC841">
            <w:pPr>
              <w:spacing w:line="500" w:lineRule="exact"/>
              <w:jc w:val="center"/>
              <w:rPr>
                <w:rFonts w:hint="eastAsia" w:ascii="宋体" w:hAnsi="宋体" w:cs="宋体"/>
                <w:color w:val="auto"/>
                <w:sz w:val="21"/>
                <w:szCs w:val="21"/>
                <w:highlight w:val="none"/>
              </w:rPr>
            </w:pPr>
          </w:p>
        </w:tc>
        <w:tc>
          <w:tcPr>
            <w:tcW w:w="1239" w:type="dxa"/>
            <w:vAlign w:val="center"/>
          </w:tcPr>
          <w:p w14:paraId="44113902">
            <w:pPr>
              <w:spacing w:line="500" w:lineRule="exact"/>
              <w:jc w:val="center"/>
              <w:rPr>
                <w:rFonts w:hint="eastAsia" w:ascii="宋体" w:hAnsi="宋体" w:cs="宋体"/>
                <w:color w:val="auto"/>
                <w:sz w:val="21"/>
                <w:szCs w:val="21"/>
                <w:highlight w:val="none"/>
              </w:rPr>
            </w:pPr>
          </w:p>
        </w:tc>
        <w:tc>
          <w:tcPr>
            <w:tcW w:w="1260" w:type="dxa"/>
            <w:vAlign w:val="center"/>
          </w:tcPr>
          <w:p w14:paraId="63C4E1EF">
            <w:pPr>
              <w:spacing w:line="500" w:lineRule="exact"/>
              <w:jc w:val="center"/>
              <w:rPr>
                <w:rFonts w:hint="eastAsia" w:ascii="宋体" w:hAnsi="宋体" w:cs="宋体"/>
                <w:color w:val="auto"/>
                <w:sz w:val="21"/>
                <w:szCs w:val="21"/>
                <w:highlight w:val="none"/>
              </w:rPr>
            </w:pPr>
          </w:p>
        </w:tc>
        <w:tc>
          <w:tcPr>
            <w:tcW w:w="1620" w:type="dxa"/>
            <w:vAlign w:val="center"/>
          </w:tcPr>
          <w:p w14:paraId="131C705C">
            <w:pPr>
              <w:spacing w:line="500" w:lineRule="exact"/>
              <w:jc w:val="center"/>
              <w:rPr>
                <w:rFonts w:hint="eastAsia" w:ascii="宋体" w:hAnsi="宋体" w:cs="宋体"/>
                <w:color w:val="auto"/>
                <w:sz w:val="21"/>
                <w:szCs w:val="21"/>
                <w:highlight w:val="none"/>
              </w:rPr>
            </w:pPr>
          </w:p>
        </w:tc>
        <w:tc>
          <w:tcPr>
            <w:tcW w:w="1620" w:type="dxa"/>
            <w:tcBorders>
              <w:right w:val="single" w:color="auto" w:sz="4" w:space="0"/>
            </w:tcBorders>
            <w:vAlign w:val="center"/>
          </w:tcPr>
          <w:p w14:paraId="450F276E">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71686EAA">
            <w:pPr>
              <w:spacing w:line="500" w:lineRule="exact"/>
              <w:jc w:val="center"/>
              <w:rPr>
                <w:rFonts w:hint="eastAsia" w:ascii="宋体" w:hAnsi="宋体" w:cs="宋体"/>
                <w:color w:val="auto"/>
                <w:sz w:val="21"/>
                <w:szCs w:val="21"/>
                <w:highlight w:val="none"/>
              </w:rPr>
            </w:pPr>
          </w:p>
        </w:tc>
      </w:tr>
      <w:tr w14:paraId="7FE482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35BED4A">
            <w:pPr>
              <w:spacing w:line="500" w:lineRule="exact"/>
              <w:jc w:val="center"/>
              <w:rPr>
                <w:rFonts w:hint="eastAsia" w:ascii="宋体" w:hAnsi="宋体" w:cs="宋体"/>
                <w:color w:val="auto"/>
                <w:sz w:val="21"/>
                <w:szCs w:val="21"/>
                <w:highlight w:val="none"/>
              </w:rPr>
            </w:pPr>
          </w:p>
        </w:tc>
        <w:tc>
          <w:tcPr>
            <w:tcW w:w="1239" w:type="dxa"/>
            <w:tcBorders>
              <w:right w:val="single" w:color="auto" w:sz="4" w:space="0"/>
            </w:tcBorders>
            <w:vAlign w:val="center"/>
          </w:tcPr>
          <w:p w14:paraId="58AB1689">
            <w:pPr>
              <w:spacing w:line="500" w:lineRule="exact"/>
              <w:jc w:val="center"/>
              <w:rPr>
                <w:rFonts w:hint="eastAsia" w:ascii="宋体" w:hAnsi="宋体" w:cs="宋体"/>
                <w:color w:val="auto"/>
                <w:sz w:val="21"/>
                <w:szCs w:val="21"/>
                <w:highlight w:val="none"/>
              </w:rPr>
            </w:pPr>
          </w:p>
        </w:tc>
        <w:tc>
          <w:tcPr>
            <w:tcW w:w="1260" w:type="dxa"/>
            <w:tcBorders>
              <w:left w:val="single" w:color="auto" w:sz="4" w:space="0"/>
            </w:tcBorders>
            <w:vAlign w:val="center"/>
          </w:tcPr>
          <w:p w14:paraId="368C59C4">
            <w:pPr>
              <w:spacing w:line="500" w:lineRule="exact"/>
              <w:jc w:val="center"/>
              <w:rPr>
                <w:rFonts w:hint="eastAsia" w:ascii="宋体" w:hAnsi="宋体" w:cs="宋体"/>
                <w:color w:val="auto"/>
                <w:sz w:val="21"/>
                <w:szCs w:val="21"/>
                <w:highlight w:val="none"/>
              </w:rPr>
            </w:pPr>
          </w:p>
        </w:tc>
        <w:tc>
          <w:tcPr>
            <w:tcW w:w="1620" w:type="dxa"/>
            <w:vAlign w:val="center"/>
          </w:tcPr>
          <w:p w14:paraId="415C7F6E">
            <w:pPr>
              <w:spacing w:line="500" w:lineRule="exact"/>
              <w:jc w:val="center"/>
              <w:rPr>
                <w:rFonts w:hint="eastAsia" w:ascii="宋体" w:hAnsi="宋体" w:cs="宋体"/>
                <w:color w:val="auto"/>
                <w:sz w:val="21"/>
                <w:szCs w:val="21"/>
                <w:highlight w:val="none"/>
              </w:rPr>
            </w:pPr>
          </w:p>
        </w:tc>
        <w:tc>
          <w:tcPr>
            <w:tcW w:w="1620" w:type="dxa"/>
            <w:tcBorders>
              <w:right w:val="single" w:color="auto" w:sz="4" w:space="0"/>
            </w:tcBorders>
            <w:vAlign w:val="center"/>
          </w:tcPr>
          <w:p w14:paraId="149186E4">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2DF089D5">
            <w:pPr>
              <w:spacing w:line="500" w:lineRule="exact"/>
              <w:jc w:val="center"/>
              <w:rPr>
                <w:rFonts w:hint="eastAsia" w:ascii="宋体" w:hAnsi="宋体" w:cs="宋体"/>
                <w:color w:val="auto"/>
                <w:sz w:val="21"/>
                <w:szCs w:val="21"/>
                <w:highlight w:val="none"/>
              </w:rPr>
            </w:pPr>
          </w:p>
        </w:tc>
      </w:tr>
      <w:tr w14:paraId="647A09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14:paraId="7C66A5B9">
            <w:pPr>
              <w:spacing w:line="500" w:lineRule="exact"/>
              <w:jc w:val="center"/>
              <w:rPr>
                <w:rFonts w:hint="eastAsia" w:ascii="宋体" w:hAnsi="宋体" w:cs="宋体"/>
                <w:color w:val="auto"/>
                <w:sz w:val="21"/>
                <w:szCs w:val="21"/>
                <w:highlight w:val="none"/>
              </w:rPr>
            </w:pPr>
          </w:p>
        </w:tc>
        <w:tc>
          <w:tcPr>
            <w:tcW w:w="1239" w:type="dxa"/>
            <w:tcBorders>
              <w:left w:val="single" w:color="auto" w:sz="4" w:space="0"/>
              <w:right w:val="single" w:color="auto" w:sz="4" w:space="0"/>
            </w:tcBorders>
            <w:vAlign w:val="center"/>
          </w:tcPr>
          <w:p w14:paraId="08F09270">
            <w:pPr>
              <w:spacing w:line="500" w:lineRule="exact"/>
              <w:jc w:val="center"/>
              <w:rPr>
                <w:rFonts w:hint="eastAsia" w:ascii="宋体" w:hAnsi="宋体" w:cs="宋体"/>
                <w:color w:val="auto"/>
                <w:sz w:val="21"/>
                <w:szCs w:val="21"/>
                <w:highlight w:val="none"/>
              </w:rPr>
            </w:pPr>
          </w:p>
        </w:tc>
        <w:tc>
          <w:tcPr>
            <w:tcW w:w="1260" w:type="dxa"/>
            <w:tcBorders>
              <w:left w:val="single" w:color="auto" w:sz="4" w:space="0"/>
              <w:right w:val="single" w:color="auto" w:sz="4" w:space="0"/>
            </w:tcBorders>
            <w:vAlign w:val="center"/>
          </w:tcPr>
          <w:p w14:paraId="102E7947">
            <w:pPr>
              <w:spacing w:line="500" w:lineRule="exact"/>
              <w:jc w:val="center"/>
              <w:rPr>
                <w:rFonts w:hint="eastAsia" w:ascii="宋体" w:hAnsi="宋体" w:cs="宋体"/>
                <w:color w:val="auto"/>
                <w:sz w:val="21"/>
                <w:szCs w:val="21"/>
                <w:highlight w:val="none"/>
              </w:rPr>
            </w:pPr>
          </w:p>
        </w:tc>
        <w:tc>
          <w:tcPr>
            <w:tcW w:w="1620" w:type="dxa"/>
            <w:tcBorders>
              <w:left w:val="single" w:color="auto" w:sz="4" w:space="0"/>
              <w:right w:val="single" w:color="auto" w:sz="4" w:space="0"/>
            </w:tcBorders>
            <w:vAlign w:val="center"/>
          </w:tcPr>
          <w:p w14:paraId="61EF612C">
            <w:pPr>
              <w:spacing w:line="500" w:lineRule="exact"/>
              <w:jc w:val="center"/>
              <w:rPr>
                <w:rFonts w:hint="eastAsia" w:ascii="宋体" w:hAnsi="宋体" w:cs="宋体"/>
                <w:color w:val="auto"/>
                <w:sz w:val="21"/>
                <w:szCs w:val="21"/>
                <w:highlight w:val="none"/>
              </w:rPr>
            </w:pPr>
          </w:p>
        </w:tc>
        <w:tc>
          <w:tcPr>
            <w:tcW w:w="1620" w:type="dxa"/>
            <w:tcBorders>
              <w:left w:val="single" w:color="auto" w:sz="4" w:space="0"/>
              <w:right w:val="single" w:color="auto" w:sz="4" w:space="0"/>
            </w:tcBorders>
            <w:vAlign w:val="center"/>
          </w:tcPr>
          <w:p w14:paraId="376FC0A8">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553EC78B">
            <w:pPr>
              <w:spacing w:line="500" w:lineRule="exact"/>
              <w:jc w:val="center"/>
              <w:rPr>
                <w:rFonts w:hint="eastAsia" w:ascii="宋体" w:hAnsi="宋体" w:cs="宋体"/>
                <w:color w:val="auto"/>
                <w:sz w:val="21"/>
                <w:szCs w:val="21"/>
                <w:highlight w:val="none"/>
              </w:rPr>
            </w:pPr>
          </w:p>
        </w:tc>
      </w:tr>
      <w:tr w14:paraId="021D12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8CC0DFB">
            <w:pPr>
              <w:spacing w:line="500" w:lineRule="exact"/>
              <w:jc w:val="center"/>
              <w:rPr>
                <w:rFonts w:hint="eastAsia" w:ascii="宋体" w:hAnsi="宋体" w:cs="宋体"/>
                <w:color w:val="auto"/>
                <w:sz w:val="21"/>
                <w:szCs w:val="21"/>
                <w:highlight w:val="none"/>
              </w:rPr>
            </w:pPr>
          </w:p>
        </w:tc>
        <w:tc>
          <w:tcPr>
            <w:tcW w:w="1239" w:type="dxa"/>
            <w:vAlign w:val="center"/>
          </w:tcPr>
          <w:p w14:paraId="074127C9">
            <w:pPr>
              <w:spacing w:line="500" w:lineRule="exact"/>
              <w:jc w:val="center"/>
              <w:rPr>
                <w:rFonts w:hint="eastAsia" w:ascii="宋体" w:hAnsi="宋体" w:cs="宋体"/>
                <w:color w:val="auto"/>
                <w:sz w:val="21"/>
                <w:szCs w:val="21"/>
                <w:highlight w:val="none"/>
              </w:rPr>
            </w:pPr>
          </w:p>
        </w:tc>
        <w:tc>
          <w:tcPr>
            <w:tcW w:w="1260" w:type="dxa"/>
            <w:vAlign w:val="center"/>
          </w:tcPr>
          <w:p w14:paraId="699FF613">
            <w:pPr>
              <w:spacing w:line="500" w:lineRule="exact"/>
              <w:jc w:val="center"/>
              <w:rPr>
                <w:rFonts w:hint="eastAsia" w:ascii="宋体" w:hAnsi="宋体" w:cs="宋体"/>
                <w:color w:val="auto"/>
                <w:sz w:val="21"/>
                <w:szCs w:val="21"/>
                <w:highlight w:val="none"/>
              </w:rPr>
            </w:pPr>
          </w:p>
        </w:tc>
        <w:tc>
          <w:tcPr>
            <w:tcW w:w="1620" w:type="dxa"/>
            <w:vAlign w:val="center"/>
          </w:tcPr>
          <w:p w14:paraId="38B02F9D">
            <w:pPr>
              <w:spacing w:line="500" w:lineRule="exact"/>
              <w:jc w:val="center"/>
              <w:rPr>
                <w:rFonts w:hint="eastAsia" w:ascii="宋体" w:hAnsi="宋体" w:cs="宋体"/>
                <w:color w:val="auto"/>
                <w:sz w:val="21"/>
                <w:szCs w:val="21"/>
                <w:highlight w:val="none"/>
              </w:rPr>
            </w:pPr>
          </w:p>
        </w:tc>
        <w:tc>
          <w:tcPr>
            <w:tcW w:w="1620" w:type="dxa"/>
            <w:tcBorders>
              <w:left w:val="single" w:color="auto" w:sz="4" w:space="0"/>
              <w:right w:val="single" w:color="auto" w:sz="4" w:space="0"/>
            </w:tcBorders>
            <w:vAlign w:val="center"/>
          </w:tcPr>
          <w:p w14:paraId="5A1F6569">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01826303">
            <w:pPr>
              <w:spacing w:line="500" w:lineRule="exact"/>
              <w:jc w:val="center"/>
              <w:rPr>
                <w:rFonts w:hint="eastAsia" w:ascii="宋体" w:hAnsi="宋体" w:cs="宋体"/>
                <w:color w:val="auto"/>
                <w:sz w:val="21"/>
                <w:szCs w:val="21"/>
                <w:highlight w:val="none"/>
              </w:rPr>
            </w:pPr>
          </w:p>
        </w:tc>
      </w:tr>
      <w:tr w14:paraId="278744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06907D8">
            <w:pPr>
              <w:spacing w:line="500" w:lineRule="exact"/>
              <w:jc w:val="center"/>
              <w:rPr>
                <w:rFonts w:hint="eastAsia" w:ascii="宋体" w:hAnsi="宋体" w:cs="宋体"/>
                <w:color w:val="auto"/>
                <w:sz w:val="21"/>
                <w:szCs w:val="21"/>
                <w:highlight w:val="none"/>
              </w:rPr>
            </w:pPr>
          </w:p>
        </w:tc>
        <w:tc>
          <w:tcPr>
            <w:tcW w:w="1239" w:type="dxa"/>
            <w:vAlign w:val="center"/>
          </w:tcPr>
          <w:p w14:paraId="485EB5DB">
            <w:pPr>
              <w:spacing w:line="500" w:lineRule="exact"/>
              <w:jc w:val="center"/>
              <w:rPr>
                <w:rFonts w:hint="eastAsia" w:ascii="宋体" w:hAnsi="宋体" w:cs="宋体"/>
                <w:color w:val="auto"/>
                <w:sz w:val="21"/>
                <w:szCs w:val="21"/>
                <w:highlight w:val="none"/>
              </w:rPr>
            </w:pPr>
          </w:p>
        </w:tc>
        <w:tc>
          <w:tcPr>
            <w:tcW w:w="1260" w:type="dxa"/>
            <w:vAlign w:val="center"/>
          </w:tcPr>
          <w:p w14:paraId="74736F94">
            <w:pPr>
              <w:spacing w:line="500" w:lineRule="exact"/>
              <w:jc w:val="center"/>
              <w:rPr>
                <w:rFonts w:hint="eastAsia" w:ascii="宋体" w:hAnsi="宋体" w:cs="宋体"/>
                <w:color w:val="auto"/>
                <w:sz w:val="21"/>
                <w:szCs w:val="21"/>
                <w:highlight w:val="none"/>
              </w:rPr>
            </w:pPr>
          </w:p>
        </w:tc>
        <w:tc>
          <w:tcPr>
            <w:tcW w:w="1620" w:type="dxa"/>
            <w:vAlign w:val="center"/>
          </w:tcPr>
          <w:p w14:paraId="0B8C8132">
            <w:pPr>
              <w:spacing w:line="500" w:lineRule="exact"/>
              <w:jc w:val="center"/>
              <w:rPr>
                <w:rFonts w:hint="eastAsia" w:ascii="宋体" w:hAnsi="宋体" w:cs="宋体"/>
                <w:color w:val="auto"/>
                <w:sz w:val="21"/>
                <w:szCs w:val="21"/>
                <w:highlight w:val="none"/>
              </w:rPr>
            </w:pPr>
          </w:p>
        </w:tc>
        <w:tc>
          <w:tcPr>
            <w:tcW w:w="1620" w:type="dxa"/>
            <w:tcBorders>
              <w:left w:val="single" w:color="auto" w:sz="4" w:space="0"/>
              <w:right w:val="single" w:color="auto" w:sz="4" w:space="0"/>
            </w:tcBorders>
            <w:vAlign w:val="center"/>
          </w:tcPr>
          <w:p w14:paraId="28451B87">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7E3DE501">
            <w:pPr>
              <w:spacing w:line="500" w:lineRule="exact"/>
              <w:jc w:val="center"/>
              <w:rPr>
                <w:rFonts w:hint="eastAsia" w:ascii="宋体" w:hAnsi="宋体" w:cs="宋体"/>
                <w:color w:val="auto"/>
                <w:sz w:val="21"/>
                <w:szCs w:val="21"/>
                <w:highlight w:val="none"/>
              </w:rPr>
            </w:pPr>
          </w:p>
        </w:tc>
      </w:tr>
      <w:tr w14:paraId="0B55FC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B6887C2">
            <w:pPr>
              <w:spacing w:line="500" w:lineRule="exact"/>
              <w:jc w:val="center"/>
              <w:rPr>
                <w:rFonts w:hint="eastAsia" w:ascii="宋体" w:hAnsi="宋体" w:cs="宋体"/>
                <w:color w:val="auto"/>
                <w:sz w:val="21"/>
                <w:szCs w:val="21"/>
                <w:highlight w:val="none"/>
              </w:rPr>
            </w:pPr>
          </w:p>
        </w:tc>
        <w:tc>
          <w:tcPr>
            <w:tcW w:w="1239" w:type="dxa"/>
            <w:vAlign w:val="center"/>
          </w:tcPr>
          <w:p w14:paraId="442CD1ED">
            <w:pPr>
              <w:spacing w:line="500" w:lineRule="exact"/>
              <w:jc w:val="center"/>
              <w:rPr>
                <w:rFonts w:hint="eastAsia" w:ascii="宋体" w:hAnsi="宋体" w:cs="宋体"/>
                <w:color w:val="auto"/>
                <w:sz w:val="21"/>
                <w:szCs w:val="21"/>
                <w:highlight w:val="none"/>
              </w:rPr>
            </w:pPr>
          </w:p>
        </w:tc>
        <w:tc>
          <w:tcPr>
            <w:tcW w:w="1260" w:type="dxa"/>
            <w:vAlign w:val="center"/>
          </w:tcPr>
          <w:p w14:paraId="067E50A3">
            <w:pPr>
              <w:spacing w:line="500" w:lineRule="exact"/>
              <w:jc w:val="center"/>
              <w:rPr>
                <w:rFonts w:hint="eastAsia" w:ascii="宋体" w:hAnsi="宋体" w:cs="宋体"/>
                <w:color w:val="auto"/>
                <w:sz w:val="21"/>
                <w:szCs w:val="21"/>
                <w:highlight w:val="none"/>
              </w:rPr>
            </w:pPr>
          </w:p>
        </w:tc>
        <w:tc>
          <w:tcPr>
            <w:tcW w:w="1620" w:type="dxa"/>
            <w:vAlign w:val="center"/>
          </w:tcPr>
          <w:p w14:paraId="36E82108">
            <w:pPr>
              <w:spacing w:line="500" w:lineRule="exact"/>
              <w:jc w:val="center"/>
              <w:rPr>
                <w:rFonts w:hint="eastAsia" w:ascii="宋体" w:hAnsi="宋体" w:cs="宋体"/>
                <w:color w:val="auto"/>
                <w:sz w:val="21"/>
                <w:szCs w:val="21"/>
                <w:highlight w:val="none"/>
              </w:rPr>
            </w:pPr>
          </w:p>
        </w:tc>
        <w:tc>
          <w:tcPr>
            <w:tcW w:w="1620" w:type="dxa"/>
            <w:tcBorders>
              <w:left w:val="single" w:color="auto" w:sz="4" w:space="0"/>
              <w:right w:val="single" w:color="auto" w:sz="4" w:space="0"/>
            </w:tcBorders>
            <w:vAlign w:val="center"/>
          </w:tcPr>
          <w:p w14:paraId="02480301">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1FA801B3">
            <w:pPr>
              <w:spacing w:line="500" w:lineRule="exact"/>
              <w:jc w:val="center"/>
              <w:rPr>
                <w:rFonts w:hint="eastAsia" w:ascii="宋体" w:hAnsi="宋体" w:cs="宋体"/>
                <w:color w:val="auto"/>
                <w:sz w:val="21"/>
                <w:szCs w:val="21"/>
                <w:highlight w:val="none"/>
              </w:rPr>
            </w:pPr>
          </w:p>
        </w:tc>
      </w:tr>
      <w:tr w14:paraId="51260B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14:paraId="7CCB8915">
            <w:pPr>
              <w:spacing w:line="500" w:lineRule="exact"/>
              <w:jc w:val="center"/>
              <w:rPr>
                <w:rFonts w:hint="eastAsia" w:ascii="宋体" w:hAnsi="宋体" w:cs="宋体"/>
                <w:color w:val="auto"/>
                <w:sz w:val="21"/>
                <w:szCs w:val="21"/>
                <w:highlight w:val="none"/>
              </w:rPr>
            </w:pPr>
          </w:p>
        </w:tc>
        <w:tc>
          <w:tcPr>
            <w:tcW w:w="1239" w:type="dxa"/>
            <w:tcBorders>
              <w:bottom w:val="single" w:color="auto" w:sz="4" w:space="0"/>
            </w:tcBorders>
            <w:vAlign w:val="center"/>
          </w:tcPr>
          <w:p w14:paraId="2756DDB8">
            <w:pPr>
              <w:spacing w:line="500" w:lineRule="exact"/>
              <w:jc w:val="center"/>
              <w:rPr>
                <w:rFonts w:hint="eastAsia" w:ascii="宋体" w:hAnsi="宋体" w:cs="宋体"/>
                <w:color w:val="auto"/>
                <w:sz w:val="21"/>
                <w:szCs w:val="21"/>
                <w:highlight w:val="none"/>
              </w:rPr>
            </w:pPr>
          </w:p>
        </w:tc>
        <w:tc>
          <w:tcPr>
            <w:tcW w:w="1260" w:type="dxa"/>
            <w:tcBorders>
              <w:bottom w:val="single" w:color="auto" w:sz="4" w:space="0"/>
            </w:tcBorders>
            <w:vAlign w:val="center"/>
          </w:tcPr>
          <w:p w14:paraId="4A84B5AF">
            <w:pPr>
              <w:spacing w:line="500" w:lineRule="exact"/>
              <w:jc w:val="center"/>
              <w:rPr>
                <w:rFonts w:hint="eastAsia" w:ascii="宋体" w:hAnsi="宋体" w:cs="宋体"/>
                <w:color w:val="auto"/>
                <w:sz w:val="21"/>
                <w:szCs w:val="21"/>
                <w:highlight w:val="none"/>
              </w:rPr>
            </w:pPr>
          </w:p>
        </w:tc>
        <w:tc>
          <w:tcPr>
            <w:tcW w:w="1620" w:type="dxa"/>
            <w:tcBorders>
              <w:bottom w:val="single" w:color="auto" w:sz="4" w:space="0"/>
            </w:tcBorders>
            <w:vAlign w:val="center"/>
          </w:tcPr>
          <w:p w14:paraId="603ACC3F">
            <w:pPr>
              <w:spacing w:line="500" w:lineRule="exact"/>
              <w:jc w:val="center"/>
              <w:rPr>
                <w:rFonts w:hint="eastAsia" w:ascii="宋体" w:hAnsi="宋体" w:cs="宋体"/>
                <w:color w:val="auto"/>
                <w:sz w:val="21"/>
                <w:szCs w:val="21"/>
                <w:highlight w:val="none"/>
              </w:rPr>
            </w:pPr>
          </w:p>
        </w:tc>
        <w:tc>
          <w:tcPr>
            <w:tcW w:w="1620" w:type="dxa"/>
            <w:tcBorders>
              <w:left w:val="single" w:color="auto" w:sz="4" w:space="0"/>
              <w:bottom w:val="single" w:color="auto" w:sz="4" w:space="0"/>
              <w:right w:val="single" w:color="auto" w:sz="4" w:space="0"/>
            </w:tcBorders>
            <w:vAlign w:val="center"/>
          </w:tcPr>
          <w:p w14:paraId="4ABA6647">
            <w:pPr>
              <w:spacing w:line="500" w:lineRule="exact"/>
              <w:jc w:val="center"/>
              <w:rPr>
                <w:rFonts w:hint="eastAsia" w:ascii="宋体" w:hAnsi="宋体" w:cs="宋体"/>
                <w:color w:val="auto"/>
                <w:sz w:val="21"/>
                <w:szCs w:val="21"/>
                <w:highlight w:val="none"/>
              </w:rPr>
            </w:pPr>
          </w:p>
        </w:tc>
        <w:tc>
          <w:tcPr>
            <w:tcW w:w="1341" w:type="dxa"/>
            <w:tcBorders>
              <w:left w:val="single" w:color="auto" w:sz="4" w:space="0"/>
              <w:bottom w:val="single" w:color="auto" w:sz="4" w:space="0"/>
            </w:tcBorders>
            <w:vAlign w:val="center"/>
          </w:tcPr>
          <w:p w14:paraId="6BF28004">
            <w:pPr>
              <w:spacing w:line="500" w:lineRule="exact"/>
              <w:jc w:val="center"/>
              <w:rPr>
                <w:rFonts w:hint="eastAsia" w:ascii="宋体" w:hAnsi="宋体" w:cs="宋体"/>
                <w:color w:val="auto"/>
                <w:sz w:val="21"/>
                <w:szCs w:val="21"/>
                <w:highlight w:val="none"/>
              </w:rPr>
            </w:pPr>
          </w:p>
        </w:tc>
      </w:tr>
      <w:tr w14:paraId="5B8CE2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3B96AC18">
            <w:pPr>
              <w:spacing w:line="500" w:lineRule="exact"/>
              <w:jc w:val="center"/>
              <w:rPr>
                <w:rFonts w:hint="eastAsia" w:ascii="宋体" w:hAnsi="宋体" w:cs="宋体"/>
                <w:color w:val="auto"/>
                <w:sz w:val="21"/>
                <w:szCs w:val="21"/>
                <w:highlight w:val="none"/>
              </w:rPr>
            </w:pPr>
          </w:p>
        </w:tc>
        <w:tc>
          <w:tcPr>
            <w:tcW w:w="1239" w:type="dxa"/>
            <w:tcBorders>
              <w:top w:val="single" w:color="auto" w:sz="4" w:space="0"/>
              <w:bottom w:val="single" w:color="auto" w:sz="4" w:space="0"/>
            </w:tcBorders>
            <w:vAlign w:val="center"/>
          </w:tcPr>
          <w:p w14:paraId="1E54D635">
            <w:pPr>
              <w:spacing w:line="500" w:lineRule="exact"/>
              <w:jc w:val="center"/>
              <w:rPr>
                <w:rFonts w:hint="eastAsia" w:ascii="宋体" w:hAnsi="宋体" w:cs="宋体"/>
                <w:color w:val="auto"/>
                <w:sz w:val="21"/>
                <w:szCs w:val="21"/>
                <w:highlight w:val="none"/>
              </w:rPr>
            </w:pPr>
          </w:p>
        </w:tc>
        <w:tc>
          <w:tcPr>
            <w:tcW w:w="1260" w:type="dxa"/>
            <w:tcBorders>
              <w:top w:val="single" w:color="auto" w:sz="4" w:space="0"/>
              <w:bottom w:val="single" w:color="auto" w:sz="4" w:space="0"/>
            </w:tcBorders>
            <w:vAlign w:val="center"/>
          </w:tcPr>
          <w:p w14:paraId="37AA7FA7">
            <w:pPr>
              <w:spacing w:line="500" w:lineRule="exact"/>
              <w:jc w:val="center"/>
              <w:rPr>
                <w:rFonts w:hint="eastAsia" w:ascii="宋体" w:hAnsi="宋体" w:cs="宋体"/>
                <w:color w:val="auto"/>
                <w:sz w:val="21"/>
                <w:szCs w:val="21"/>
                <w:highlight w:val="none"/>
              </w:rPr>
            </w:pPr>
          </w:p>
        </w:tc>
        <w:tc>
          <w:tcPr>
            <w:tcW w:w="1620" w:type="dxa"/>
            <w:tcBorders>
              <w:top w:val="single" w:color="auto" w:sz="4" w:space="0"/>
              <w:bottom w:val="single" w:color="auto" w:sz="4" w:space="0"/>
            </w:tcBorders>
            <w:vAlign w:val="center"/>
          </w:tcPr>
          <w:p w14:paraId="22EFFFB0">
            <w:pPr>
              <w:spacing w:line="500" w:lineRule="exact"/>
              <w:jc w:val="center"/>
              <w:rPr>
                <w:rFonts w:hint="eastAsia" w:ascii="宋体" w:hAnsi="宋体" w:cs="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6C30CA7E">
            <w:pPr>
              <w:spacing w:line="500" w:lineRule="exact"/>
              <w:jc w:val="center"/>
              <w:rPr>
                <w:rFonts w:hint="eastAsia" w:ascii="宋体" w:hAnsi="宋体" w:cs="宋体"/>
                <w:color w:val="auto"/>
                <w:sz w:val="21"/>
                <w:szCs w:val="21"/>
                <w:highlight w:val="none"/>
              </w:rPr>
            </w:pPr>
          </w:p>
        </w:tc>
        <w:tc>
          <w:tcPr>
            <w:tcW w:w="1341" w:type="dxa"/>
            <w:tcBorders>
              <w:top w:val="single" w:color="auto" w:sz="4" w:space="0"/>
              <w:left w:val="single" w:color="auto" w:sz="4" w:space="0"/>
              <w:bottom w:val="single" w:color="auto" w:sz="4" w:space="0"/>
            </w:tcBorders>
            <w:vAlign w:val="center"/>
          </w:tcPr>
          <w:p w14:paraId="26D52F86">
            <w:pPr>
              <w:spacing w:line="500" w:lineRule="exact"/>
              <w:jc w:val="center"/>
              <w:rPr>
                <w:rFonts w:hint="eastAsia" w:ascii="宋体" w:hAnsi="宋体" w:cs="宋体"/>
                <w:color w:val="auto"/>
                <w:sz w:val="21"/>
                <w:szCs w:val="21"/>
                <w:highlight w:val="none"/>
              </w:rPr>
            </w:pPr>
          </w:p>
        </w:tc>
      </w:tr>
      <w:tr w14:paraId="4E837F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46EB51C1">
            <w:pPr>
              <w:spacing w:line="500" w:lineRule="exact"/>
              <w:jc w:val="center"/>
              <w:rPr>
                <w:rFonts w:hint="eastAsia" w:ascii="宋体" w:hAnsi="宋体" w:cs="宋体"/>
                <w:color w:val="auto"/>
                <w:sz w:val="21"/>
                <w:szCs w:val="21"/>
                <w:highlight w:val="none"/>
              </w:rPr>
            </w:pPr>
          </w:p>
        </w:tc>
        <w:tc>
          <w:tcPr>
            <w:tcW w:w="1239" w:type="dxa"/>
            <w:tcBorders>
              <w:top w:val="single" w:color="auto" w:sz="4" w:space="0"/>
              <w:bottom w:val="single" w:color="auto" w:sz="4" w:space="0"/>
            </w:tcBorders>
            <w:vAlign w:val="center"/>
          </w:tcPr>
          <w:p w14:paraId="4CAC2BE9">
            <w:pPr>
              <w:spacing w:line="500" w:lineRule="exact"/>
              <w:jc w:val="center"/>
              <w:rPr>
                <w:rFonts w:hint="eastAsia" w:ascii="宋体" w:hAnsi="宋体" w:cs="宋体"/>
                <w:color w:val="auto"/>
                <w:sz w:val="21"/>
                <w:szCs w:val="21"/>
                <w:highlight w:val="none"/>
              </w:rPr>
            </w:pPr>
          </w:p>
        </w:tc>
        <w:tc>
          <w:tcPr>
            <w:tcW w:w="1260" w:type="dxa"/>
            <w:tcBorders>
              <w:top w:val="single" w:color="auto" w:sz="4" w:space="0"/>
              <w:bottom w:val="single" w:color="auto" w:sz="4" w:space="0"/>
            </w:tcBorders>
            <w:vAlign w:val="center"/>
          </w:tcPr>
          <w:p w14:paraId="041D5879">
            <w:pPr>
              <w:spacing w:line="500" w:lineRule="exact"/>
              <w:jc w:val="center"/>
              <w:rPr>
                <w:rFonts w:hint="eastAsia" w:ascii="宋体" w:hAnsi="宋体" w:cs="宋体"/>
                <w:color w:val="auto"/>
                <w:sz w:val="21"/>
                <w:szCs w:val="21"/>
                <w:highlight w:val="none"/>
              </w:rPr>
            </w:pPr>
          </w:p>
        </w:tc>
        <w:tc>
          <w:tcPr>
            <w:tcW w:w="1620" w:type="dxa"/>
            <w:tcBorders>
              <w:top w:val="single" w:color="auto" w:sz="4" w:space="0"/>
              <w:bottom w:val="single" w:color="auto" w:sz="4" w:space="0"/>
            </w:tcBorders>
            <w:vAlign w:val="center"/>
          </w:tcPr>
          <w:p w14:paraId="74D7D0BA">
            <w:pPr>
              <w:spacing w:line="500" w:lineRule="exact"/>
              <w:jc w:val="center"/>
              <w:rPr>
                <w:rFonts w:hint="eastAsia" w:ascii="宋体" w:hAnsi="宋体" w:cs="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166F674F">
            <w:pPr>
              <w:spacing w:line="500" w:lineRule="exact"/>
              <w:jc w:val="center"/>
              <w:rPr>
                <w:rFonts w:hint="eastAsia" w:ascii="宋体" w:hAnsi="宋体" w:cs="宋体"/>
                <w:color w:val="auto"/>
                <w:sz w:val="21"/>
                <w:szCs w:val="21"/>
                <w:highlight w:val="none"/>
              </w:rPr>
            </w:pPr>
          </w:p>
        </w:tc>
        <w:tc>
          <w:tcPr>
            <w:tcW w:w="1341" w:type="dxa"/>
            <w:tcBorders>
              <w:top w:val="single" w:color="auto" w:sz="4" w:space="0"/>
              <w:left w:val="single" w:color="auto" w:sz="4" w:space="0"/>
              <w:bottom w:val="single" w:color="auto" w:sz="4" w:space="0"/>
            </w:tcBorders>
            <w:vAlign w:val="center"/>
          </w:tcPr>
          <w:p w14:paraId="4ADAFF5D">
            <w:pPr>
              <w:spacing w:line="500" w:lineRule="exact"/>
              <w:jc w:val="center"/>
              <w:rPr>
                <w:rFonts w:hint="eastAsia" w:ascii="宋体" w:hAnsi="宋体" w:cs="宋体"/>
                <w:color w:val="auto"/>
                <w:sz w:val="21"/>
                <w:szCs w:val="21"/>
                <w:highlight w:val="none"/>
              </w:rPr>
            </w:pPr>
          </w:p>
        </w:tc>
      </w:tr>
      <w:tr w14:paraId="619EE2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14:paraId="25BC8757">
            <w:pPr>
              <w:spacing w:line="500" w:lineRule="exact"/>
              <w:jc w:val="center"/>
              <w:rPr>
                <w:rFonts w:hint="eastAsia" w:ascii="宋体" w:hAnsi="宋体" w:cs="宋体"/>
                <w:color w:val="auto"/>
                <w:sz w:val="21"/>
                <w:szCs w:val="21"/>
                <w:highlight w:val="none"/>
              </w:rPr>
            </w:pPr>
          </w:p>
        </w:tc>
        <w:tc>
          <w:tcPr>
            <w:tcW w:w="1239" w:type="dxa"/>
            <w:tcBorders>
              <w:top w:val="single" w:color="auto" w:sz="4" w:space="0"/>
              <w:bottom w:val="single" w:color="auto" w:sz="4" w:space="0"/>
            </w:tcBorders>
            <w:vAlign w:val="center"/>
          </w:tcPr>
          <w:p w14:paraId="4CA0C90E">
            <w:pPr>
              <w:spacing w:line="500" w:lineRule="exact"/>
              <w:jc w:val="center"/>
              <w:rPr>
                <w:rFonts w:hint="eastAsia" w:ascii="宋体" w:hAnsi="宋体" w:cs="宋体"/>
                <w:color w:val="auto"/>
                <w:sz w:val="21"/>
                <w:szCs w:val="21"/>
                <w:highlight w:val="none"/>
              </w:rPr>
            </w:pPr>
          </w:p>
        </w:tc>
        <w:tc>
          <w:tcPr>
            <w:tcW w:w="1260" w:type="dxa"/>
            <w:tcBorders>
              <w:top w:val="single" w:color="auto" w:sz="4" w:space="0"/>
              <w:bottom w:val="single" w:color="auto" w:sz="4" w:space="0"/>
            </w:tcBorders>
            <w:vAlign w:val="center"/>
          </w:tcPr>
          <w:p w14:paraId="4F4DFD9E">
            <w:pPr>
              <w:spacing w:line="500" w:lineRule="exact"/>
              <w:jc w:val="center"/>
              <w:rPr>
                <w:rFonts w:hint="eastAsia" w:ascii="宋体" w:hAnsi="宋体" w:cs="宋体"/>
                <w:color w:val="auto"/>
                <w:sz w:val="21"/>
                <w:szCs w:val="21"/>
                <w:highlight w:val="none"/>
              </w:rPr>
            </w:pPr>
          </w:p>
        </w:tc>
        <w:tc>
          <w:tcPr>
            <w:tcW w:w="1620" w:type="dxa"/>
            <w:tcBorders>
              <w:top w:val="single" w:color="auto" w:sz="4" w:space="0"/>
              <w:bottom w:val="single" w:color="auto" w:sz="4" w:space="0"/>
            </w:tcBorders>
            <w:vAlign w:val="center"/>
          </w:tcPr>
          <w:p w14:paraId="7E0786F0">
            <w:pPr>
              <w:spacing w:line="500" w:lineRule="exact"/>
              <w:jc w:val="center"/>
              <w:rPr>
                <w:rFonts w:hint="eastAsia" w:ascii="宋体" w:hAnsi="宋体" w:cs="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01D09EA6">
            <w:pPr>
              <w:spacing w:line="500" w:lineRule="exact"/>
              <w:jc w:val="center"/>
              <w:rPr>
                <w:rFonts w:hint="eastAsia" w:ascii="宋体" w:hAnsi="宋体" w:cs="宋体"/>
                <w:color w:val="auto"/>
                <w:sz w:val="21"/>
                <w:szCs w:val="21"/>
                <w:highlight w:val="none"/>
              </w:rPr>
            </w:pPr>
          </w:p>
        </w:tc>
        <w:tc>
          <w:tcPr>
            <w:tcW w:w="1341" w:type="dxa"/>
            <w:tcBorders>
              <w:top w:val="single" w:color="auto" w:sz="4" w:space="0"/>
              <w:left w:val="single" w:color="auto" w:sz="4" w:space="0"/>
              <w:bottom w:val="single" w:color="auto" w:sz="4" w:space="0"/>
            </w:tcBorders>
            <w:vAlign w:val="center"/>
          </w:tcPr>
          <w:p w14:paraId="3B630AB7">
            <w:pPr>
              <w:spacing w:line="500" w:lineRule="exact"/>
              <w:jc w:val="center"/>
              <w:rPr>
                <w:rFonts w:hint="eastAsia" w:ascii="宋体" w:hAnsi="宋体" w:cs="宋体"/>
                <w:color w:val="auto"/>
                <w:sz w:val="21"/>
                <w:szCs w:val="21"/>
                <w:highlight w:val="none"/>
              </w:rPr>
            </w:pPr>
          </w:p>
        </w:tc>
      </w:tr>
      <w:tr w14:paraId="747DA8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14:paraId="2754E533">
            <w:pPr>
              <w:spacing w:line="500" w:lineRule="exact"/>
              <w:jc w:val="center"/>
              <w:rPr>
                <w:rFonts w:hint="eastAsia" w:ascii="宋体" w:hAnsi="宋体" w:cs="宋体"/>
                <w:color w:val="auto"/>
                <w:sz w:val="21"/>
                <w:szCs w:val="21"/>
                <w:highlight w:val="none"/>
              </w:rPr>
            </w:pPr>
          </w:p>
        </w:tc>
        <w:tc>
          <w:tcPr>
            <w:tcW w:w="1239" w:type="dxa"/>
            <w:tcBorders>
              <w:top w:val="single" w:color="auto" w:sz="4" w:space="0"/>
            </w:tcBorders>
            <w:vAlign w:val="center"/>
          </w:tcPr>
          <w:p w14:paraId="7EE9A2A0">
            <w:pPr>
              <w:spacing w:line="500" w:lineRule="exact"/>
              <w:jc w:val="center"/>
              <w:rPr>
                <w:rFonts w:hint="eastAsia" w:ascii="宋体" w:hAnsi="宋体" w:cs="宋体"/>
                <w:color w:val="auto"/>
                <w:sz w:val="21"/>
                <w:szCs w:val="21"/>
                <w:highlight w:val="none"/>
              </w:rPr>
            </w:pPr>
          </w:p>
        </w:tc>
        <w:tc>
          <w:tcPr>
            <w:tcW w:w="1260" w:type="dxa"/>
            <w:tcBorders>
              <w:top w:val="single" w:color="auto" w:sz="4" w:space="0"/>
            </w:tcBorders>
            <w:vAlign w:val="center"/>
          </w:tcPr>
          <w:p w14:paraId="6410D0CE">
            <w:pPr>
              <w:spacing w:line="500" w:lineRule="exact"/>
              <w:jc w:val="center"/>
              <w:rPr>
                <w:rFonts w:hint="eastAsia" w:ascii="宋体" w:hAnsi="宋体" w:cs="宋体"/>
                <w:color w:val="auto"/>
                <w:sz w:val="21"/>
                <w:szCs w:val="21"/>
                <w:highlight w:val="none"/>
              </w:rPr>
            </w:pPr>
          </w:p>
        </w:tc>
        <w:tc>
          <w:tcPr>
            <w:tcW w:w="1620" w:type="dxa"/>
            <w:tcBorders>
              <w:top w:val="single" w:color="auto" w:sz="4" w:space="0"/>
            </w:tcBorders>
            <w:vAlign w:val="center"/>
          </w:tcPr>
          <w:p w14:paraId="74275243">
            <w:pPr>
              <w:spacing w:line="500" w:lineRule="exact"/>
              <w:jc w:val="center"/>
              <w:rPr>
                <w:rFonts w:hint="eastAsia" w:ascii="宋体" w:hAnsi="宋体" w:cs="宋体"/>
                <w:color w:val="auto"/>
                <w:sz w:val="21"/>
                <w:szCs w:val="21"/>
                <w:highlight w:val="none"/>
              </w:rPr>
            </w:pPr>
          </w:p>
        </w:tc>
        <w:tc>
          <w:tcPr>
            <w:tcW w:w="1620" w:type="dxa"/>
            <w:tcBorders>
              <w:top w:val="single" w:color="auto" w:sz="4" w:space="0"/>
              <w:left w:val="single" w:color="auto" w:sz="4" w:space="0"/>
              <w:right w:val="single" w:color="auto" w:sz="4" w:space="0"/>
            </w:tcBorders>
            <w:vAlign w:val="center"/>
          </w:tcPr>
          <w:p w14:paraId="238BD5F8">
            <w:pPr>
              <w:spacing w:line="500" w:lineRule="exact"/>
              <w:jc w:val="center"/>
              <w:rPr>
                <w:rFonts w:hint="eastAsia" w:ascii="宋体" w:hAnsi="宋体" w:cs="宋体"/>
                <w:color w:val="auto"/>
                <w:sz w:val="21"/>
                <w:szCs w:val="21"/>
                <w:highlight w:val="none"/>
              </w:rPr>
            </w:pPr>
          </w:p>
        </w:tc>
        <w:tc>
          <w:tcPr>
            <w:tcW w:w="1341" w:type="dxa"/>
            <w:tcBorders>
              <w:top w:val="single" w:color="auto" w:sz="4" w:space="0"/>
              <w:left w:val="single" w:color="auto" w:sz="4" w:space="0"/>
            </w:tcBorders>
            <w:vAlign w:val="center"/>
          </w:tcPr>
          <w:p w14:paraId="469C47DC">
            <w:pPr>
              <w:spacing w:line="500" w:lineRule="exact"/>
              <w:jc w:val="center"/>
              <w:rPr>
                <w:rFonts w:hint="eastAsia" w:ascii="宋体" w:hAnsi="宋体" w:cs="宋体"/>
                <w:color w:val="auto"/>
                <w:sz w:val="21"/>
                <w:szCs w:val="21"/>
                <w:highlight w:val="none"/>
              </w:rPr>
            </w:pPr>
          </w:p>
        </w:tc>
      </w:tr>
    </w:tbl>
    <w:p w14:paraId="13BCC1F4">
      <w:pPr>
        <w:spacing w:line="400" w:lineRule="exact"/>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注：</w:t>
      </w:r>
      <w:r>
        <w:rPr>
          <w:rFonts w:hint="eastAsia" w:ascii="仿宋" w:hAnsi="仿宋" w:eastAsia="仿宋" w:cs="仿宋"/>
          <w:color w:val="auto"/>
          <w:sz w:val="28"/>
          <w:szCs w:val="28"/>
          <w:highlight w:val="none"/>
        </w:rPr>
        <w:t>投标人以上业绩需提供有关书面证明材料。</w:t>
      </w:r>
    </w:p>
    <w:p w14:paraId="4B695DAB">
      <w:pPr>
        <w:spacing w:line="400" w:lineRule="exact"/>
        <w:ind w:firstLine="210" w:firstLineChars="75"/>
        <w:rPr>
          <w:rFonts w:hint="eastAsia" w:ascii="仿宋" w:hAnsi="仿宋" w:eastAsia="仿宋" w:cs="仿宋"/>
          <w:color w:val="auto"/>
          <w:sz w:val="28"/>
          <w:szCs w:val="28"/>
          <w:highlight w:val="none"/>
        </w:rPr>
      </w:pPr>
    </w:p>
    <w:p w14:paraId="243B5385">
      <w:pPr>
        <w:spacing w:line="400" w:lineRule="exact"/>
        <w:ind w:firstLine="210" w:firstLineChars="75"/>
        <w:rPr>
          <w:rFonts w:hint="eastAsia" w:ascii="仿宋" w:hAnsi="仿宋" w:eastAsia="仿宋" w:cs="仿宋"/>
          <w:color w:val="auto"/>
          <w:sz w:val="28"/>
          <w:szCs w:val="28"/>
          <w:highlight w:val="none"/>
        </w:rPr>
      </w:pPr>
    </w:p>
    <w:p w14:paraId="12FFEC76">
      <w:pPr>
        <w:spacing w:line="3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投标人名称：         （盖章）</w:t>
      </w:r>
    </w:p>
    <w:p w14:paraId="7F1F27DB">
      <w:pPr>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法定代表人或授权代表（签字）</w:t>
      </w:r>
      <w:r>
        <w:rPr>
          <w:rFonts w:hint="eastAsia" w:ascii="仿宋" w:hAnsi="仿宋" w:eastAsia="仿宋" w:cs="仿宋"/>
          <w:bCs/>
          <w:color w:val="auto"/>
          <w:sz w:val="28"/>
          <w:szCs w:val="28"/>
          <w:highlight w:val="none"/>
        </w:rPr>
        <w:t>：</w:t>
      </w:r>
    </w:p>
    <w:p w14:paraId="2B1CCBA2">
      <w:pPr>
        <w:spacing w:line="500" w:lineRule="exact"/>
        <w:rPr>
          <w:rFonts w:hint="eastAsia" w:asciiTheme="minorEastAsia" w:hAnsiTheme="minorEastAsia" w:eastAsiaTheme="minorEastAsia"/>
          <w:b/>
          <w:color w:val="auto"/>
          <w:sz w:val="28"/>
          <w:szCs w:val="28"/>
          <w:highlight w:val="none"/>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Cs/>
          <w:color w:val="auto"/>
          <w:sz w:val="28"/>
          <w:szCs w:val="28"/>
          <w:highlight w:val="none"/>
        </w:rPr>
        <w:t>投标日期:</w:t>
      </w:r>
    </w:p>
    <w:p w14:paraId="2F40E028">
      <w:pPr>
        <w:rPr>
          <w:rFonts w:hint="eastAsia" w:asciiTheme="minorEastAsia" w:hAnsiTheme="minorEastAsia" w:eastAsiaTheme="minorEastAsia"/>
          <w:color w:val="auto"/>
          <w:sz w:val="18"/>
          <w:szCs w:val="18"/>
          <w:highlight w:val="none"/>
        </w:rPr>
      </w:pPr>
    </w:p>
    <w:p w14:paraId="66E43CF0">
      <w:pPr>
        <w:snapToGrid w:val="0"/>
        <w:spacing w:line="500" w:lineRule="exact"/>
        <w:ind w:firstLine="275" w:firstLineChars="98"/>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八、近三年财务报表</w:t>
      </w:r>
      <w:r>
        <w:rPr>
          <w:rFonts w:ascii="Times New Roman" w:hAnsi="Times New Roman" w:eastAsia="方正仿宋_GBK" w:cs="Times New Roman"/>
          <w:color w:val="auto"/>
          <w:sz w:val="32"/>
          <w:szCs w:val="32"/>
          <w:highlight w:val="none"/>
        </w:rPr>
        <w:t>（包括资产负债表、利润表和现金流量表）</w:t>
      </w:r>
    </w:p>
    <w:p w14:paraId="5D02BE4B">
      <w:pPr>
        <w:widowControl/>
        <w:rPr>
          <w:rFonts w:hint="eastAsia" w:ascii="仿宋" w:hAnsi="仿宋" w:eastAsia="仿宋" w:cs="仿宋"/>
          <w:b/>
          <w:bCs/>
          <w:color w:val="auto"/>
          <w:kern w:val="0"/>
          <w:sz w:val="28"/>
          <w:szCs w:val="28"/>
          <w:highlight w:val="none"/>
        </w:rPr>
      </w:pPr>
    </w:p>
    <w:p w14:paraId="1DE640AD">
      <w:pPr>
        <w:snapToGrid w:val="0"/>
        <w:spacing w:line="520" w:lineRule="exact"/>
        <w:ind w:left="481" w:leftChars="86" w:hanging="275" w:hangingChars="98"/>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 xml:space="preserve">（根据招标要求由投标人自行编写） </w:t>
      </w:r>
    </w:p>
    <w:p w14:paraId="595A4C7E">
      <w:pPr>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br w:type="page"/>
      </w:r>
    </w:p>
    <w:p w14:paraId="2E2CEFAC">
      <w:pPr>
        <w:snapToGrid w:val="0"/>
        <w:spacing w:line="500" w:lineRule="exact"/>
        <w:ind w:firstLine="275" w:firstLineChars="98"/>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九、近三年的纳税及员工社保缴纳证明</w:t>
      </w:r>
    </w:p>
    <w:p w14:paraId="6EAB7B32">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297A54B3">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5ACFF6A9">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2B02812E">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2AF5F762">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03EDB606">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5FCA297B">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33DB6D98">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4E8E3FC9">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26E772D5">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75B2A35F">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11A86BE9">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27AB7CBD">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54122305">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04CB7475">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04A71960">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62A471B9">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4F340775">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3829F34A">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46D184F7">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489A0A68">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78BC851A">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268E0D48">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0B6C0DB9">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6658A004">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228F7DE0">
      <w:pPr>
        <w:snapToGrid w:val="0"/>
        <w:spacing w:line="500" w:lineRule="exact"/>
        <w:ind w:firstLine="275" w:firstLineChars="98"/>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十、近三年官网诚信证明截图证明</w:t>
      </w:r>
    </w:p>
    <w:p w14:paraId="4D4B2DCB">
      <w:pPr>
        <w:snapToGrid w:val="0"/>
        <w:spacing w:line="520" w:lineRule="exact"/>
        <w:ind w:left="382" w:leftChars="86" w:hanging="176" w:hangingChars="98"/>
        <w:rPr>
          <w:rFonts w:hint="eastAsia" w:ascii="仿宋" w:hAnsi="仿宋" w:eastAsia="仿宋" w:cs="仿宋"/>
          <w:b/>
          <w:color w:val="auto"/>
          <w:sz w:val="28"/>
          <w:szCs w:val="28"/>
          <w:highlight w:val="none"/>
        </w:rPr>
      </w:pPr>
      <w:r>
        <w:rPr>
          <w:rFonts w:hint="eastAsia" w:asciiTheme="minorEastAsia" w:hAnsiTheme="minorEastAsia" w:eastAsiaTheme="minorEastAsia"/>
          <w:color w:val="auto"/>
          <w:sz w:val="18"/>
          <w:szCs w:val="18"/>
          <w:highlight w:val="none"/>
        </w:rPr>
        <w:br w:type="page"/>
      </w:r>
      <w:r>
        <w:rPr>
          <w:rFonts w:hint="eastAsia" w:ascii="仿宋" w:hAnsi="仿宋" w:eastAsia="仿宋" w:cs="仿宋"/>
          <w:b/>
          <w:color w:val="auto"/>
          <w:sz w:val="28"/>
          <w:szCs w:val="28"/>
          <w:highlight w:val="none"/>
          <w:lang w:val="en-US" w:eastAsia="zh-CN"/>
        </w:rPr>
        <w:t>十一</w:t>
      </w:r>
      <w:r>
        <w:rPr>
          <w:rFonts w:hint="eastAsia" w:ascii="仿宋" w:hAnsi="仿宋" w:eastAsia="仿宋" w:cs="仿宋"/>
          <w:b/>
          <w:color w:val="auto"/>
          <w:sz w:val="28"/>
          <w:szCs w:val="28"/>
          <w:highlight w:val="none"/>
        </w:rPr>
        <w:t>、承诺函</w:t>
      </w:r>
    </w:p>
    <w:p w14:paraId="5828A9D3">
      <w:pPr>
        <w:spacing w:line="520" w:lineRule="exact"/>
        <w:ind w:firstLine="420" w:firstLineChars="15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__________________（采购人）：</w:t>
      </w:r>
    </w:p>
    <w:p w14:paraId="2B07DEC4">
      <w:pPr>
        <w:spacing w:line="520" w:lineRule="exact"/>
        <w:rPr>
          <w:rFonts w:hint="eastAsia" w:ascii="仿宋" w:hAnsi="仿宋" w:eastAsia="仿宋" w:cs="仿宋"/>
          <w:color w:val="auto"/>
          <w:sz w:val="28"/>
          <w:szCs w:val="28"/>
          <w:highlight w:val="none"/>
        </w:rPr>
      </w:pPr>
    </w:p>
    <w:p w14:paraId="67F9DA3F">
      <w:pPr>
        <w:spacing w:line="520" w:lineRule="exact"/>
        <w:ind w:firstLine="42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本公司作为参加本次招标的供应商，郑重承诺具备以下条件：</w:t>
      </w:r>
    </w:p>
    <w:p w14:paraId="093B52AF">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1．投标人具有独立承担民事责任的能力；</w:t>
      </w:r>
    </w:p>
    <w:p w14:paraId="533BE8CC">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2．投标人具有良好的商业信誉和健全的财务会计制度，并提供近三年的财务报表；</w:t>
      </w:r>
    </w:p>
    <w:p w14:paraId="76F1BA15">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3．投标人具有依法缴纳税收和社会保障资金的良好纪录，并提供近三年的纳税及员工社保缴纳证明；</w:t>
      </w:r>
    </w:p>
    <w:p w14:paraId="2827DE1D">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4．投标人具有履行合同所必需的专业技术能力；投标方具有5年（含）以上的经营时间，需提供2022年1月1日以来由投标人签署的高校相关项目合同复印件（单个合同金额至少30万）及类似项目履约能力证明材料；</w:t>
      </w:r>
    </w:p>
    <w:p w14:paraId="36E1670B">
      <w:pPr>
        <w:spacing w:line="520" w:lineRule="exact"/>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投标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6F18CD0D">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6．投标人具有完善的质量保证和售后服务体系； </w:t>
      </w:r>
    </w:p>
    <w:p w14:paraId="09687D28">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7.本项目不接受联合体投标。</w:t>
      </w:r>
    </w:p>
    <w:p w14:paraId="0FC84CD2">
      <w:pPr>
        <w:spacing w:line="520" w:lineRule="exact"/>
        <w:rPr>
          <w:rFonts w:hint="eastAsia" w:ascii="仿宋" w:hAnsi="仿宋" w:eastAsia="仿宋" w:cs="仿宋"/>
          <w:color w:val="auto"/>
          <w:sz w:val="28"/>
          <w:szCs w:val="28"/>
          <w:highlight w:val="none"/>
        </w:rPr>
      </w:pPr>
    </w:p>
    <w:p w14:paraId="58AB4191">
      <w:pPr>
        <w:spacing w:line="520" w:lineRule="exact"/>
        <w:rPr>
          <w:rFonts w:hint="eastAsia" w:ascii="仿宋" w:hAnsi="仿宋" w:eastAsia="仿宋" w:cs="仿宋"/>
          <w:color w:val="auto"/>
          <w:sz w:val="28"/>
          <w:szCs w:val="28"/>
          <w:highlight w:val="none"/>
        </w:rPr>
      </w:pPr>
    </w:p>
    <w:p w14:paraId="3CFF42D3">
      <w:pPr>
        <w:spacing w:line="520" w:lineRule="exact"/>
        <w:rPr>
          <w:rFonts w:hint="eastAsia" w:ascii="仿宋" w:hAnsi="仿宋" w:eastAsia="仿宋" w:cs="仿宋"/>
          <w:color w:val="auto"/>
          <w:sz w:val="28"/>
          <w:szCs w:val="28"/>
          <w:highlight w:val="none"/>
        </w:rPr>
      </w:pPr>
    </w:p>
    <w:p w14:paraId="27B368C1">
      <w:pPr>
        <w:spacing w:line="520" w:lineRule="exact"/>
        <w:rPr>
          <w:rFonts w:hint="eastAsia" w:ascii="仿宋" w:hAnsi="仿宋" w:eastAsia="仿宋" w:cs="仿宋"/>
          <w:color w:val="auto"/>
          <w:sz w:val="28"/>
          <w:szCs w:val="28"/>
          <w:highlight w:val="none"/>
        </w:rPr>
      </w:pPr>
    </w:p>
    <w:p w14:paraId="28C66E42">
      <w:pPr>
        <w:spacing w:line="520" w:lineRule="exact"/>
        <w:rPr>
          <w:rFonts w:hint="eastAsia" w:ascii="仿宋" w:hAnsi="仿宋" w:eastAsia="仿宋" w:cs="仿宋"/>
          <w:color w:val="auto"/>
          <w:sz w:val="28"/>
          <w:szCs w:val="28"/>
          <w:highlight w:val="none"/>
        </w:rPr>
      </w:pPr>
    </w:p>
    <w:p w14:paraId="5F80B204">
      <w:pPr>
        <w:adjustRightInd w:val="0"/>
        <w:spacing w:line="52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（盖章）</w:t>
      </w:r>
    </w:p>
    <w:p w14:paraId="673A2DB3">
      <w:pPr>
        <w:adjustRightInd w:val="0"/>
        <w:spacing w:line="520" w:lineRule="exact"/>
        <w:ind w:firstLine="630" w:firstLineChars="225"/>
        <w:jc w:val="lef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法定代表人或授权代表（签字或盖章）：</w:t>
      </w:r>
    </w:p>
    <w:p w14:paraId="3DF81B99">
      <w:pPr>
        <w:adjustRightInd w:val="0"/>
        <w:spacing w:line="520" w:lineRule="exact"/>
        <w:ind w:firstLine="630" w:firstLineChars="225"/>
        <w:jc w:val="lef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日期:</w:t>
      </w:r>
    </w:p>
    <w:p w14:paraId="767BA608">
      <w:pPr>
        <w:snapToGrid w:val="0"/>
        <w:spacing w:line="500" w:lineRule="exact"/>
        <w:rPr>
          <w:rFonts w:hint="eastAsia" w:asciiTheme="minorEastAsia" w:hAnsiTheme="minorEastAsia" w:eastAsiaTheme="minorEastAsia"/>
          <w:b/>
          <w:bCs/>
          <w:color w:val="auto"/>
          <w:kern w:val="0"/>
          <w:sz w:val="21"/>
          <w:szCs w:val="21"/>
          <w:highlight w:val="none"/>
        </w:rPr>
        <w:sectPr>
          <w:pgSz w:w="11907" w:h="16840"/>
          <w:pgMar w:top="1440" w:right="1466" w:bottom="1440" w:left="1440" w:header="851" w:footer="992" w:gutter="0"/>
          <w:cols w:space="425" w:num="1"/>
          <w:docGrid w:linePitch="312" w:charSpace="0"/>
        </w:sectPr>
      </w:pPr>
      <w:r>
        <w:rPr>
          <w:rFonts w:hint="eastAsia" w:asciiTheme="minorEastAsia" w:hAnsiTheme="minorEastAsia" w:eastAsiaTheme="minorEastAsia"/>
          <w:color w:val="auto"/>
          <w:highlight w:val="none"/>
        </w:rPr>
        <w:br w:type="page"/>
      </w:r>
    </w:p>
    <w:p w14:paraId="4B07A3D0">
      <w:pPr>
        <w:adjustRightInd w:val="0"/>
        <w:spacing w:line="480" w:lineRule="auto"/>
        <w:jc w:val="left"/>
        <w:rPr>
          <w:rFonts w:ascii="Times New Roman" w:hAnsi="Times New Roman" w:eastAsia="仿宋" w:cs="Times New Roman"/>
          <w:b/>
          <w:color w:val="auto"/>
          <w:sz w:val="28"/>
          <w:szCs w:val="28"/>
          <w:highlight w:val="none"/>
        </w:rPr>
      </w:pPr>
      <w:r>
        <w:rPr>
          <w:rFonts w:hint="eastAsia" w:ascii="仿宋" w:hAnsi="仿宋" w:eastAsia="仿宋" w:cs="仿宋"/>
          <w:b/>
          <w:color w:val="auto"/>
          <w:sz w:val="28"/>
          <w:szCs w:val="28"/>
          <w:highlight w:val="none"/>
        </w:rPr>
        <w:t>十</w:t>
      </w:r>
      <w:r>
        <w:rPr>
          <w:rFonts w:hint="eastAsia" w:ascii="仿宋" w:hAnsi="仿宋" w:eastAsia="仿宋" w:cs="仿宋"/>
          <w:b/>
          <w:color w:val="auto"/>
          <w:sz w:val="28"/>
          <w:szCs w:val="28"/>
          <w:highlight w:val="none"/>
          <w:lang w:eastAsia="zh-CN"/>
        </w:rPr>
        <w:t>二</w:t>
      </w:r>
      <w:r>
        <w:rPr>
          <w:rFonts w:hint="eastAsia" w:ascii="仿宋" w:hAnsi="仿宋" w:eastAsia="仿宋" w:cs="仿宋"/>
          <w:b/>
          <w:color w:val="auto"/>
          <w:sz w:val="28"/>
          <w:szCs w:val="28"/>
          <w:highlight w:val="none"/>
        </w:rPr>
        <w:t>、</w:t>
      </w:r>
      <w:r>
        <w:rPr>
          <w:rFonts w:hint="eastAsia" w:ascii="Times New Roman" w:hAnsi="Times New Roman" w:eastAsia="方正仿宋_GBK" w:cs="Times New Roman"/>
          <w:color w:val="auto"/>
          <w:sz w:val="28"/>
          <w:szCs w:val="28"/>
          <w:highlight w:val="none"/>
          <w:lang w:val="en-US" w:eastAsia="zh-CN"/>
        </w:rPr>
        <w:t>投标文件PDF格式的电子档U盘一份</w:t>
      </w:r>
    </w:p>
    <w:sectPr>
      <w:pgSz w:w="11906" w:h="16838"/>
      <w:pgMar w:top="1440" w:right="1841" w:bottom="1440" w:left="1800" w:header="851" w:footer="992" w:gutter="0"/>
      <w:pgNumType w:chapStyle="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方正细黑一简体">
    <w:altName w:val="黑体"/>
    <w:panose1 w:val="00000000000000000000"/>
    <w:charset w:val="86"/>
    <w:family w:val="auto"/>
    <w:pitch w:val="default"/>
    <w:sig w:usb0="00000000" w:usb1="00000000" w:usb2="00000010" w:usb3="00000000" w:csb0="00040000" w:csb1="00000000"/>
  </w:font>
  <w:font w:name="Heiti SC Light">
    <w:altName w:val="微软雅黑"/>
    <w:panose1 w:val="00000000000000000000"/>
    <w:charset w:val="50"/>
    <w:family w:val="auto"/>
    <w:pitch w:val="default"/>
    <w:sig w:usb0="00000000" w:usb1="00000000" w:usb2="00000010" w:usb3="00000000" w:csb0="003E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ヒラギノ角ゴ Pro W3">
    <w:altName w:val="MS Gothic"/>
    <w:panose1 w:val="00000000000000000000"/>
    <w:charset w:val="4E"/>
    <w:family w:val="auto"/>
    <w:pitch w:val="default"/>
    <w:sig w:usb0="00000000" w:usb1="00000000" w:usb2="00000012" w:usb3="00000000" w:csb0="0002000D" w:csb1="00000000"/>
  </w:font>
  <w:font w:name="MS Gothic">
    <w:panose1 w:val="020B0609070205080204"/>
    <w:charset w:val="80"/>
    <w:family w:val="auto"/>
    <w:pitch w:val="default"/>
    <w:sig w:usb0="E00002FF" w:usb1="6AC7FDFB" w:usb2="00000012" w:usb3="00000000" w:csb0="4002009F" w:csb1="DFD70000"/>
  </w:font>
  <w:font w:name="文鼎细圆简">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5701804"/>
    </w:sdtPr>
    <w:sdtContent>
      <w:p w14:paraId="6C82F061">
        <w:pPr>
          <w:pStyle w:val="28"/>
          <w:jc w:val="center"/>
        </w:pPr>
        <w:r>
          <w:fldChar w:fldCharType="begin"/>
        </w:r>
        <w:r>
          <w:instrText xml:space="preserve">PAGE   \* MERGEFORMAT</w:instrText>
        </w:r>
        <w:r>
          <w:fldChar w:fldCharType="separate"/>
        </w:r>
        <w:r>
          <w:rPr>
            <w:lang w:val="zh-CN"/>
          </w:rPr>
          <w:t>25</w:t>
        </w:r>
        <w:r>
          <w:rPr>
            <w:lang w:val="zh-CN"/>
          </w:rPr>
          <w:fldChar w:fldCharType="end"/>
        </w:r>
      </w:p>
    </w:sdtContent>
  </w:sdt>
  <w:p w14:paraId="764CA535">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C2C03">
    <w:pPr>
      <w:jc w:val="center"/>
      <w:rPr>
        <w:rFonts w:hint="eastAsia" w:ascii="宋体" w:hAnsi="宋体"/>
        <w:color w:val="000000" w:themeColor="text1"/>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8"/>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1">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2">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3">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1"/>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576C171E"/>
    <w:multiLevelType w:val="multilevel"/>
    <w:tmpl w:val="576C171E"/>
    <w:lvl w:ilvl="0" w:tentative="0">
      <w:start w:val="1"/>
      <w:numFmt w:val="bullet"/>
      <w:pStyle w:val="138"/>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6EB43250"/>
    <w:multiLevelType w:val="multilevel"/>
    <w:tmpl w:val="6EB43250"/>
    <w:lvl w:ilvl="0" w:tentative="0">
      <w:start w:val="1"/>
      <w:numFmt w:val="bullet"/>
      <w:pStyle w:val="13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720B5377"/>
    <w:multiLevelType w:val="multilevel"/>
    <w:tmpl w:val="720B5377"/>
    <w:lvl w:ilvl="0" w:tentative="0">
      <w:start w:val="1"/>
      <w:numFmt w:val="decimal"/>
      <w:pStyle w:val="177"/>
      <w:lvlText w:val="%1、"/>
      <w:lvlJc w:val="left"/>
      <w:pPr>
        <w:tabs>
          <w:tab w:val="left" w:pos="961"/>
        </w:tabs>
        <w:ind w:left="961" w:hanging="360"/>
      </w:pPr>
      <w:rPr>
        <w:rFonts w:hint="default"/>
      </w:rPr>
    </w:lvl>
    <w:lvl w:ilvl="1" w:tentative="0">
      <w:start w:val="1"/>
      <w:numFmt w:val="lowerLetter"/>
      <w:lvlText w:val="%2)"/>
      <w:lvlJc w:val="left"/>
      <w:pPr>
        <w:tabs>
          <w:tab w:val="left" w:pos="1441"/>
        </w:tabs>
        <w:ind w:left="1441" w:hanging="420"/>
      </w:pPr>
    </w:lvl>
    <w:lvl w:ilvl="2" w:tentative="0">
      <w:start w:val="1"/>
      <w:numFmt w:val="lowerRoman"/>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7">
    <w:nsid w:val="74F233E9"/>
    <w:multiLevelType w:val="multilevel"/>
    <w:tmpl w:val="74F233E9"/>
    <w:lvl w:ilvl="0" w:tentative="0">
      <w:start w:val="1"/>
      <w:numFmt w:val="bullet"/>
      <w:pStyle w:val="135"/>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8">
    <w:nsid w:val="76DB1815"/>
    <w:multiLevelType w:val="singleLevel"/>
    <w:tmpl w:val="76DB1815"/>
    <w:lvl w:ilvl="0" w:tentative="0">
      <w:start w:val="6"/>
      <w:numFmt w:val="chineseCounting"/>
      <w:suff w:val="nothing"/>
      <w:lvlText w:val="%1、"/>
      <w:lvlJc w:val="left"/>
      <w:rPr>
        <w:rFonts w:hint="eastAsia"/>
      </w:rPr>
    </w:lvl>
  </w:abstractNum>
  <w:abstractNum w:abstractNumId="9">
    <w:nsid w:val="77F1C87D"/>
    <w:multiLevelType w:val="singleLevel"/>
    <w:tmpl w:val="77F1C87D"/>
    <w:lvl w:ilvl="0" w:tentative="0">
      <w:start w:val="2"/>
      <w:numFmt w:val="chineseCounting"/>
      <w:suff w:val="nothing"/>
      <w:lvlText w:val="%1、"/>
      <w:lvlJc w:val="left"/>
      <w:rPr>
        <w:rFonts w:hint="eastAsia"/>
      </w:rPr>
    </w:lvl>
  </w:abstractNum>
  <w:abstractNum w:abstractNumId="10">
    <w:nsid w:val="7F746245"/>
    <w:multiLevelType w:val="multilevel"/>
    <w:tmpl w:val="7F746245"/>
    <w:lvl w:ilvl="0" w:tentative="0">
      <w:start w:val="1"/>
      <w:numFmt w:val="none"/>
      <w:pStyle w:val="193"/>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 w:numId="4">
    <w:abstractNumId w:val="5"/>
  </w:num>
  <w:num w:numId="5">
    <w:abstractNumId w:val="7"/>
  </w:num>
  <w:num w:numId="6">
    <w:abstractNumId w:val="4"/>
  </w:num>
  <w:num w:numId="7">
    <w:abstractNumId w:val="6"/>
  </w:num>
  <w:num w:numId="8">
    <w:abstractNumId w:val="3"/>
  </w:num>
  <w:num w:numId="9">
    <w:abstractNumId w:val="1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39C"/>
    <w:rsid w:val="000D4AF9"/>
    <w:rsid w:val="000D504F"/>
    <w:rsid w:val="000D5EEB"/>
    <w:rsid w:val="000D7315"/>
    <w:rsid w:val="000D77DB"/>
    <w:rsid w:val="000D7B0B"/>
    <w:rsid w:val="000E0B71"/>
    <w:rsid w:val="000E0E5F"/>
    <w:rsid w:val="000E27CB"/>
    <w:rsid w:val="000E32C8"/>
    <w:rsid w:val="000E3739"/>
    <w:rsid w:val="000E37BC"/>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FA6"/>
    <w:rsid w:val="00156F52"/>
    <w:rsid w:val="001578C6"/>
    <w:rsid w:val="00157FB9"/>
    <w:rsid w:val="00164563"/>
    <w:rsid w:val="00165A73"/>
    <w:rsid w:val="0017033D"/>
    <w:rsid w:val="0017061E"/>
    <w:rsid w:val="00170827"/>
    <w:rsid w:val="00170E76"/>
    <w:rsid w:val="001714FB"/>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805"/>
    <w:rsid w:val="001E61FA"/>
    <w:rsid w:val="001E63A3"/>
    <w:rsid w:val="001E6758"/>
    <w:rsid w:val="001E7F58"/>
    <w:rsid w:val="001F03F5"/>
    <w:rsid w:val="001F08D3"/>
    <w:rsid w:val="001F0CEA"/>
    <w:rsid w:val="001F12A2"/>
    <w:rsid w:val="001F1D40"/>
    <w:rsid w:val="001F28F1"/>
    <w:rsid w:val="001F2B7F"/>
    <w:rsid w:val="001F390A"/>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7F1F"/>
    <w:rsid w:val="00337FFE"/>
    <w:rsid w:val="00340410"/>
    <w:rsid w:val="00340483"/>
    <w:rsid w:val="00340866"/>
    <w:rsid w:val="00340F38"/>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5EC1"/>
    <w:rsid w:val="005D720C"/>
    <w:rsid w:val="005D7C1C"/>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6210"/>
    <w:rsid w:val="006C6CDA"/>
    <w:rsid w:val="006D0A15"/>
    <w:rsid w:val="006D1A30"/>
    <w:rsid w:val="006D2D1C"/>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30CD"/>
    <w:rsid w:val="007032D9"/>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5C2E"/>
    <w:rsid w:val="009977DC"/>
    <w:rsid w:val="00997FAE"/>
    <w:rsid w:val="009A0274"/>
    <w:rsid w:val="009A0F49"/>
    <w:rsid w:val="009A1054"/>
    <w:rsid w:val="009A191A"/>
    <w:rsid w:val="009A1BC0"/>
    <w:rsid w:val="009A1EC5"/>
    <w:rsid w:val="009A298C"/>
    <w:rsid w:val="009A35A0"/>
    <w:rsid w:val="009A3A75"/>
    <w:rsid w:val="009A3C50"/>
    <w:rsid w:val="009A4378"/>
    <w:rsid w:val="009A48D7"/>
    <w:rsid w:val="009A63D8"/>
    <w:rsid w:val="009A64F2"/>
    <w:rsid w:val="009A689D"/>
    <w:rsid w:val="009A6A23"/>
    <w:rsid w:val="009B10CA"/>
    <w:rsid w:val="009B1D61"/>
    <w:rsid w:val="009B1EE6"/>
    <w:rsid w:val="009B1FB9"/>
    <w:rsid w:val="009B237F"/>
    <w:rsid w:val="009B29D5"/>
    <w:rsid w:val="009B3080"/>
    <w:rsid w:val="009B3831"/>
    <w:rsid w:val="009B55B6"/>
    <w:rsid w:val="009B5B28"/>
    <w:rsid w:val="009B5E7E"/>
    <w:rsid w:val="009B6696"/>
    <w:rsid w:val="009B6888"/>
    <w:rsid w:val="009B7BD2"/>
    <w:rsid w:val="009B7F80"/>
    <w:rsid w:val="009C0769"/>
    <w:rsid w:val="009C0CC6"/>
    <w:rsid w:val="009C1173"/>
    <w:rsid w:val="009C20E7"/>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2A81"/>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C74B1"/>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2977"/>
    <w:rsid w:val="00B32B26"/>
    <w:rsid w:val="00B32EE9"/>
    <w:rsid w:val="00B33CE5"/>
    <w:rsid w:val="00B33F6B"/>
    <w:rsid w:val="00B34D86"/>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4B8"/>
    <w:rsid w:val="00BF5F6D"/>
    <w:rsid w:val="00BF7EB7"/>
    <w:rsid w:val="00C0137D"/>
    <w:rsid w:val="00C015EA"/>
    <w:rsid w:val="00C03EDA"/>
    <w:rsid w:val="00C0485C"/>
    <w:rsid w:val="00C0555C"/>
    <w:rsid w:val="00C05A5A"/>
    <w:rsid w:val="00C05BA2"/>
    <w:rsid w:val="00C06133"/>
    <w:rsid w:val="00C06CCD"/>
    <w:rsid w:val="00C07E05"/>
    <w:rsid w:val="00C12F79"/>
    <w:rsid w:val="00C13017"/>
    <w:rsid w:val="00C1368D"/>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5C0"/>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6B0"/>
    <w:rsid w:val="00D35FB0"/>
    <w:rsid w:val="00D37099"/>
    <w:rsid w:val="00D404DF"/>
    <w:rsid w:val="00D438DB"/>
    <w:rsid w:val="00D44309"/>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C01"/>
    <w:rsid w:val="00DC53E0"/>
    <w:rsid w:val="00DC581F"/>
    <w:rsid w:val="00DC6789"/>
    <w:rsid w:val="00DC6AF2"/>
    <w:rsid w:val="00DC6B0D"/>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7E5"/>
    <w:rsid w:val="00DE4A49"/>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C84"/>
    <w:rsid w:val="00FC5C54"/>
    <w:rsid w:val="00FC5D61"/>
    <w:rsid w:val="00FC67D6"/>
    <w:rsid w:val="00FC6DB2"/>
    <w:rsid w:val="00FD07E3"/>
    <w:rsid w:val="00FD1919"/>
    <w:rsid w:val="00FD283C"/>
    <w:rsid w:val="00FD32C2"/>
    <w:rsid w:val="00FD36B6"/>
    <w:rsid w:val="00FD3E6E"/>
    <w:rsid w:val="00FD503F"/>
    <w:rsid w:val="00FD50BC"/>
    <w:rsid w:val="00FE1066"/>
    <w:rsid w:val="00FE1648"/>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4C4089"/>
    <w:rsid w:val="01712C59"/>
    <w:rsid w:val="019224BE"/>
    <w:rsid w:val="02454DC9"/>
    <w:rsid w:val="02910324"/>
    <w:rsid w:val="02C646E1"/>
    <w:rsid w:val="02DB4857"/>
    <w:rsid w:val="03541CED"/>
    <w:rsid w:val="0367592F"/>
    <w:rsid w:val="037C1244"/>
    <w:rsid w:val="037D6E4A"/>
    <w:rsid w:val="040D6D19"/>
    <w:rsid w:val="045A67DF"/>
    <w:rsid w:val="045D2E23"/>
    <w:rsid w:val="04612981"/>
    <w:rsid w:val="04617C78"/>
    <w:rsid w:val="0492290C"/>
    <w:rsid w:val="04973A9F"/>
    <w:rsid w:val="04EA03AB"/>
    <w:rsid w:val="04F548E2"/>
    <w:rsid w:val="053E6976"/>
    <w:rsid w:val="06862B05"/>
    <w:rsid w:val="06BB7499"/>
    <w:rsid w:val="072A4BA6"/>
    <w:rsid w:val="07FE6B2C"/>
    <w:rsid w:val="07FF48C8"/>
    <w:rsid w:val="081D7E86"/>
    <w:rsid w:val="08610CD7"/>
    <w:rsid w:val="088C034D"/>
    <w:rsid w:val="08AA0E57"/>
    <w:rsid w:val="08AC078D"/>
    <w:rsid w:val="08B421A7"/>
    <w:rsid w:val="09004AA0"/>
    <w:rsid w:val="09141EC9"/>
    <w:rsid w:val="091B157F"/>
    <w:rsid w:val="091F2D9D"/>
    <w:rsid w:val="092B7785"/>
    <w:rsid w:val="0948190B"/>
    <w:rsid w:val="0993037E"/>
    <w:rsid w:val="0A872E9B"/>
    <w:rsid w:val="0AB319EF"/>
    <w:rsid w:val="0AF6127C"/>
    <w:rsid w:val="0B7962BE"/>
    <w:rsid w:val="0C105DFF"/>
    <w:rsid w:val="0C684A5B"/>
    <w:rsid w:val="0CB5287D"/>
    <w:rsid w:val="0CBD4ADC"/>
    <w:rsid w:val="0CCA3020"/>
    <w:rsid w:val="0CFC317C"/>
    <w:rsid w:val="0E4B0A3C"/>
    <w:rsid w:val="0E6275D1"/>
    <w:rsid w:val="0EB46E08"/>
    <w:rsid w:val="0EC64E38"/>
    <w:rsid w:val="0EEC1973"/>
    <w:rsid w:val="0F264FE7"/>
    <w:rsid w:val="0F3946C8"/>
    <w:rsid w:val="0F621390"/>
    <w:rsid w:val="0FAC7325"/>
    <w:rsid w:val="0FEB079C"/>
    <w:rsid w:val="10EF4D6C"/>
    <w:rsid w:val="11367AC0"/>
    <w:rsid w:val="118D1664"/>
    <w:rsid w:val="11A101D6"/>
    <w:rsid w:val="11B06C17"/>
    <w:rsid w:val="11B83C77"/>
    <w:rsid w:val="120D6082"/>
    <w:rsid w:val="122711D7"/>
    <w:rsid w:val="1230330D"/>
    <w:rsid w:val="12CA37D0"/>
    <w:rsid w:val="139D752A"/>
    <w:rsid w:val="13F526AA"/>
    <w:rsid w:val="142152D6"/>
    <w:rsid w:val="14CB5D17"/>
    <w:rsid w:val="14DF5063"/>
    <w:rsid w:val="15373CF1"/>
    <w:rsid w:val="15880C4C"/>
    <w:rsid w:val="15AC7766"/>
    <w:rsid w:val="15AE4939"/>
    <w:rsid w:val="169B3D10"/>
    <w:rsid w:val="16A101B8"/>
    <w:rsid w:val="16A7036B"/>
    <w:rsid w:val="16AC344E"/>
    <w:rsid w:val="16C07B0A"/>
    <w:rsid w:val="170532D4"/>
    <w:rsid w:val="172604C7"/>
    <w:rsid w:val="1731523F"/>
    <w:rsid w:val="17EA65DF"/>
    <w:rsid w:val="18003D99"/>
    <w:rsid w:val="18287181"/>
    <w:rsid w:val="192D615C"/>
    <w:rsid w:val="19553A9D"/>
    <w:rsid w:val="195F3547"/>
    <w:rsid w:val="19826FA5"/>
    <w:rsid w:val="19877AF0"/>
    <w:rsid w:val="19D40DC3"/>
    <w:rsid w:val="19E71F68"/>
    <w:rsid w:val="1A287223"/>
    <w:rsid w:val="1B393673"/>
    <w:rsid w:val="1C3243D6"/>
    <w:rsid w:val="1C5F6EAA"/>
    <w:rsid w:val="1C6F4FB4"/>
    <w:rsid w:val="1C733AAB"/>
    <w:rsid w:val="1CC45CDD"/>
    <w:rsid w:val="1CCB791D"/>
    <w:rsid w:val="1CD22F7D"/>
    <w:rsid w:val="1D1735EF"/>
    <w:rsid w:val="1DEE0CA9"/>
    <w:rsid w:val="1DF20628"/>
    <w:rsid w:val="1E2D620F"/>
    <w:rsid w:val="1EBF50DB"/>
    <w:rsid w:val="1ED4425A"/>
    <w:rsid w:val="1EDC7F1C"/>
    <w:rsid w:val="1F011828"/>
    <w:rsid w:val="204C132C"/>
    <w:rsid w:val="20D64653"/>
    <w:rsid w:val="20EE1616"/>
    <w:rsid w:val="21120767"/>
    <w:rsid w:val="212E2504"/>
    <w:rsid w:val="214B0C07"/>
    <w:rsid w:val="216A67F7"/>
    <w:rsid w:val="219963E6"/>
    <w:rsid w:val="21D302A6"/>
    <w:rsid w:val="21EE0F80"/>
    <w:rsid w:val="23CF4666"/>
    <w:rsid w:val="245231DD"/>
    <w:rsid w:val="246B066E"/>
    <w:rsid w:val="24A314E5"/>
    <w:rsid w:val="25315A92"/>
    <w:rsid w:val="25485B4A"/>
    <w:rsid w:val="257411BF"/>
    <w:rsid w:val="25864D84"/>
    <w:rsid w:val="25D668B0"/>
    <w:rsid w:val="260F1BFD"/>
    <w:rsid w:val="26421E20"/>
    <w:rsid w:val="264D746E"/>
    <w:rsid w:val="268B18B9"/>
    <w:rsid w:val="26942845"/>
    <w:rsid w:val="26A5092E"/>
    <w:rsid w:val="26AB55C9"/>
    <w:rsid w:val="26AB5818"/>
    <w:rsid w:val="26D24169"/>
    <w:rsid w:val="2782748C"/>
    <w:rsid w:val="27AB2C9A"/>
    <w:rsid w:val="28105DC7"/>
    <w:rsid w:val="28603F2A"/>
    <w:rsid w:val="287B7E23"/>
    <w:rsid w:val="28812A39"/>
    <w:rsid w:val="28943942"/>
    <w:rsid w:val="291C5BFE"/>
    <w:rsid w:val="29382A6B"/>
    <w:rsid w:val="2955110C"/>
    <w:rsid w:val="295A23FC"/>
    <w:rsid w:val="29626662"/>
    <w:rsid w:val="2A3113C8"/>
    <w:rsid w:val="2A446C83"/>
    <w:rsid w:val="2A8617FE"/>
    <w:rsid w:val="2AB9225B"/>
    <w:rsid w:val="2B4464C7"/>
    <w:rsid w:val="2B590203"/>
    <w:rsid w:val="2B6B0F7F"/>
    <w:rsid w:val="2B794137"/>
    <w:rsid w:val="2B9B099A"/>
    <w:rsid w:val="2BD851A9"/>
    <w:rsid w:val="2C130D6C"/>
    <w:rsid w:val="2C225C6C"/>
    <w:rsid w:val="2C7831FE"/>
    <w:rsid w:val="2C8F0EA7"/>
    <w:rsid w:val="2CAD66F4"/>
    <w:rsid w:val="2D5609E8"/>
    <w:rsid w:val="2E0E10F4"/>
    <w:rsid w:val="2E1555FA"/>
    <w:rsid w:val="2E335172"/>
    <w:rsid w:val="2EF771DC"/>
    <w:rsid w:val="2F377CAB"/>
    <w:rsid w:val="2F7215C9"/>
    <w:rsid w:val="2F753598"/>
    <w:rsid w:val="2FCC5E07"/>
    <w:rsid w:val="2FF545D5"/>
    <w:rsid w:val="30247B0A"/>
    <w:rsid w:val="3146027D"/>
    <w:rsid w:val="31492649"/>
    <w:rsid w:val="317D7A4B"/>
    <w:rsid w:val="319966F0"/>
    <w:rsid w:val="31B322E2"/>
    <w:rsid w:val="32863A70"/>
    <w:rsid w:val="328E2276"/>
    <w:rsid w:val="333F5C66"/>
    <w:rsid w:val="33825FA4"/>
    <w:rsid w:val="33DB773D"/>
    <w:rsid w:val="346A2735"/>
    <w:rsid w:val="34820207"/>
    <w:rsid w:val="349F49A1"/>
    <w:rsid w:val="34AA5361"/>
    <w:rsid w:val="34D7553F"/>
    <w:rsid w:val="34F622B8"/>
    <w:rsid w:val="34FC3E0F"/>
    <w:rsid w:val="3536335A"/>
    <w:rsid w:val="357B6085"/>
    <w:rsid w:val="3600333F"/>
    <w:rsid w:val="367C2ED7"/>
    <w:rsid w:val="36C53D8A"/>
    <w:rsid w:val="36DC78E2"/>
    <w:rsid w:val="373C7A9C"/>
    <w:rsid w:val="373D0A1A"/>
    <w:rsid w:val="37512FB8"/>
    <w:rsid w:val="376914BD"/>
    <w:rsid w:val="377D7D51"/>
    <w:rsid w:val="37CD35DE"/>
    <w:rsid w:val="38232AA8"/>
    <w:rsid w:val="3860608E"/>
    <w:rsid w:val="389D3187"/>
    <w:rsid w:val="38B91C49"/>
    <w:rsid w:val="39150919"/>
    <w:rsid w:val="3984451E"/>
    <w:rsid w:val="39E958BC"/>
    <w:rsid w:val="39F84A46"/>
    <w:rsid w:val="3A366C90"/>
    <w:rsid w:val="3A50783A"/>
    <w:rsid w:val="3AD2717E"/>
    <w:rsid w:val="3AE8792A"/>
    <w:rsid w:val="3B4C6B7D"/>
    <w:rsid w:val="3C580635"/>
    <w:rsid w:val="3C896EB4"/>
    <w:rsid w:val="3CC50F8A"/>
    <w:rsid w:val="3CF26E83"/>
    <w:rsid w:val="3D7E3DFD"/>
    <w:rsid w:val="3DDC1B4E"/>
    <w:rsid w:val="3DE624D4"/>
    <w:rsid w:val="3E684EAD"/>
    <w:rsid w:val="3E6E56EE"/>
    <w:rsid w:val="3E831250"/>
    <w:rsid w:val="3EAF2D25"/>
    <w:rsid w:val="3EBD538E"/>
    <w:rsid w:val="3F221C11"/>
    <w:rsid w:val="3F3F3186"/>
    <w:rsid w:val="3FF57DD8"/>
    <w:rsid w:val="400A4965"/>
    <w:rsid w:val="40291362"/>
    <w:rsid w:val="40B35F3C"/>
    <w:rsid w:val="41492569"/>
    <w:rsid w:val="41B06152"/>
    <w:rsid w:val="41CF1774"/>
    <w:rsid w:val="41E166A7"/>
    <w:rsid w:val="42833F2C"/>
    <w:rsid w:val="42A34959"/>
    <w:rsid w:val="42AB29D0"/>
    <w:rsid w:val="42D515E8"/>
    <w:rsid w:val="432568B4"/>
    <w:rsid w:val="43C5363E"/>
    <w:rsid w:val="43F0266D"/>
    <w:rsid w:val="441B5933"/>
    <w:rsid w:val="44562207"/>
    <w:rsid w:val="44EF3FD1"/>
    <w:rsid w:val="4534045C"/>
    <w:rsid w:val="45352A25"/>
    <w:rsid w:val="455E66B8"/>
    <w:rsid w:val="458F0387"/>
    <w:rsid w:val="460F3D97"/>
    <w:rsid w:val="46157C7E"/>
    <w:rsid w:val="461F17AF"/>
    <w:rsid w:val="46707362"/>
    <w:rsid w:val="46E53E93"/>
    <w:rsid w:val="46E6047B"/>
    <w:rsid w:val="47525687"/>
    <w:rsid w:val="47A32C15"/>
    <w:rsid w:val="47D33EDA"/>
    <w:rsid w:val="47F55DE4"/>
    <w:rsid w:val="47FC5A7C"/>
    <w:rsid w:val="48010ED3"/>
    <w:rsid w:val="48514DA6"/>
    <w:rsid w:val="48CA33FC"/>
    <w:rsid w:val="49316623"/>
    <w:rsid w:val="494372C0"/>
    <w:rsid w:val="495532BE"/>
    <w:rsid w:val="4A091CE5"/>
    <w:rsid w:val="4A99106D"/>
    <w:rsid w:val="4AC839B1"/>
    <w:rsid w:val="4BCE2162"/>
    <w:rsid w:val="4BE909E0"/>
    <w:rsid w:val="4BEF1B80"/>
    <w:rsid w:val="4BF7143F"/>
    <w:rsid w:val="4BFF39E8"/>
    <w:rsid w:val="4C290139"/>
    <w:rsid w:val="4C4C1669"/>
    <w:rsid w:val="4C7F6D10"/>
    <w:rsid w:val="4CC2524A"/>
    <w:rsid w:val="4CFE5DCC"/>
    <w:rsid w:val="4D293DEA"/>
    <w:rsid w:val="4DD83BCC"/>
    <w:rsid w:val="4DDE1EAC"/>
    <w:rsid w:val="4DFF1E22"/>
    <w:rsid w:val="4E5D3917"/>
    <w:rsid w:val="4F1C3489"/>
    <w:rsid w:val="4F9F02E7"/>
    <w:rsid w:val="50195C4C"/>
    <w:rsid w:val="51326756"/>
    <w:rsid w:val="518976D2"/>
    <w:rsid w:val="522E5111"/>
    <w:rsid w:val="525608BB"/>
    <w:rsid w:val="52935EE2"/>
    <w:rsid w:val="52A674AC"/>
    <w:rsid w:val="52B5636A"/>
    <w:rsid w:val="53072D70"/>
    <w:rsid w:val="53594140"/>
    <w:rsid w:val="53C10C2B"/>
    <w:rsid w:val="53F01D34"/>
    <w:rsid w:val="541A3E14"/>
    <w:rsid w:val="546D3EBE"/>
    <w:rsid w:val="547E7F44"/>
    <w:rsid w:val="54955781"/>
    <w:rsid w:val="54A203AA"/>
    <w:rsid w:val="54B61F5D"/>
    <w:rsid w:val="551F5FB4"/>
    <w:rsid w:val="55AA1478"/>
    <w:rsid w:val="55CC2F32"/>
    <w:rsid w:val="55D15107"/>
    <w:rsid w:val="563A4464"/>
    <w:rsid w:val="56497D05"/>
    <w:rsid w:val="5651762B"/>
    <w:rsid w:val="570A56DD"/>
    <w:rsid w:val="57730905"/>
    <w:rsid w:val="57783371"/>
    <w:rsid w:val="57C70B78"/>
    <w:rsid w:val="58457272"/>
    <w:rsid w:val="58900246"/>
    <w:rsid w:val="58A14A23"/>
    <w:rsid w:val="58A609DF"/>
    <w:rsid w:val="58CB7923"/>
    <w:rsid w:val="58FF660A"/>
    <w:rsid w:val="599810F5"/>
    <w:rsid w:val="59A1101C"/>
    <w:rsid w:val="59AF248B"/>
    <w:rsid w:val="59F111B9"/>
    <w:rsid w:val="5A1455BF"/>
    <w:rsid w:val="5A15432B"/>
    <w:rsid w:val="5A1D1EFC"/>
    <w:rsid w:val="5AD26541"/>
    <w:rsid w:val="5ADA6DD0"/>
    <w:rsid w:val="5ADE3149"/>
    <w:rsid w:val="5AEF067F"/>
    <w:rsid w:val="5AF21780"/>
    <w:rsid w:val="5B9444F1"/>
    <w:rsid w:val="5BC052E6"/>
    <w:rsid w:val="5BF85296"/>
    <w:rsid w:val="5C024D2D"/>
    <w:rsid w:val="5C2E04A2"/>
    <w:rsid w:val="5C4972A2"/>
    <w:rsid w:val="5CD458C9"/>
    <w:rsid w:val="5CD901EE"/>
    <w:rsid w:val="5CF05F2A"/>
    <w:rsid w:val="5D054DA9"/>
    <w:rsid w:val="5D2D6E3D"/>
    <w:rsid w:val="5DA724B1"/>
    <w:rsid w:val="5FAB005C"/>
    <w:rsid w:val="5FE07B70"/>
    <w:rsid w:val="603879BD"/>
    <w:rsid w:val="606B6E69"/>
    <w:rsid w:val="607034DD"/>
    <w:rsid w:val="60912DAE"/>
    <w:rsid w:val="60944A0B"/>
    <w:rsid w:val="60AC578B"/>
    <w:rsid w:val="60D41974"/>
    <w:rsid w:val="6154366A"/>
    <w:rsid w:val="617200A8"/>
    <w:rsid w:val="61B85B0B"/>
    <w:rsid w:val="61CD059E"/>
    <w:rsid w:val="61EB0605"/>
    <w:rsid w:val="627C0528"/>
    <w:rsid w:val="6320666B"/>
    <w:rsid w:val="633E7ADE"/>
    <w:rsid w:val="63433366"/>
    <w:rsid w:val="63891D25"/>
    <w:rsid w:val="63A54A3C"/>
    <w:rsid w:val="63A66D11"/>
    <w:rsid w:val="63A92490"/>
    <w:rsid w:val="63AE49E0"/>
    <w:rsid w:val="63D63827"/>
    <w:rsid w:val="63F10251"/>
    <w:rsid w:val="641674F2"/>
    <w:rsid w:val="643B2761"/>
    <w:rsid w:val="64C51278"/>
    <w:rsid w:val="64CA5FFF"/>
    <w:rsid w:val="64FD5E67"/>
    <w:rsid w:val="65546448"/>
    <w:rsid w:val="65711670"/>
    <w:rsid w:val="65AE7E08"/>
    <w:rsid w:val="65C63372"/>
    <w:rsid w:val="662C60B7"/>
    <w:rsid w:val="66613222"/>
    <w:rsid w:val="668C29E2"/>
    <w:rsid w:val="668F6486"/>
    <w:rsid w:val="670575BF"/>
    <w:rsid w:val="67D14DBF"/>
    <w:rsid w:val="67F23C6D"/>
    <w:rsid w:val="68D61B92"/>
    <w:rsid w:val="68E33569"/>
    <w:rsid w:val="694F3806"/>
    <w:rsid w:val="696772FB"/>
    <w:rsid w:val="69E4001D"/>
    <w:rsid w:val="6A095614"/>
    <w:rsid w:val="6A2B4C32"/>
    <w:rsid w:val="6AEA3DA1"/>
    <w:rsid w:val="6AF07B7F"/>
    <w:rsid w:val="6B2F1B41"/>
    <w:rsid w:val="6B427B77"/>
    <w:rsid w:val="6B4E2D3E"/>
    <w:rsid w:val="6BD96A17"/>
    <w:rsid w:val="6C091100"/>
    <w:rsid w:val="6C530C66"/>
    <w:rsid w:val="6C8C3392"/>
    <w:rsid w:val="6E550CC4"/>
    <w:rsid w:val="6E943BB5"/>
    <w:rsid w:val="6EBC13EB"/>
    <w:rsid w:val="6EBE3907"/>
    <w:rsid w:val="6EC71ECE"/>
    <w:rsid w:val="6F6F4C26"/>
    <w:rsid w:val="6FEF16BE"/>
    <w:rsid w:val="705707FC"/>
    <w:rsid w:val="706B00BB"/>
    <w:rsid w:val="70B43760"/>
    <w:rsid w:val="70DE0D35"/>
    <w:rsid w:val="70DF14BB"/>
    <w:rsid w:val="70EB475C"/>
    <w:rsid w:val="70F01005"/>
    <w:rsid w:val="71687CAF"/>
    <w:rsid w:val="71AF12E6"/>
    <w:rsid w:val="71DD637A"/>
    <w:rsid w:val="727A15DA"/>
    <w:rsid w:val="72B01989"/>
    <w:rsid w:val="72CA1615"/>
    <w:rsid w:val="72DA63FB"/>
    <w:rsid w:val="73372296"/>
    <w:rsid w:val="73584999"/>
    <w:rsid w:val="738A4F1A"/>
    <w:rsid w:val="741C0922"/>
    <w:rsid w:val="7449069D"/>
    <w:rsid w:val="74573835"/>
    <w:rsid w:val="75056005"/>
    <w:rsid w:val="758B5B61"/>
    <w:rsid w:val="75AE44DB"/>
    <w:rsid w:val="75B46B29"/>
    <w:rsid w:val="75E7504D"/>
    <w:rsid w:val="75EF53B2"/>
    <w:rsid w:val="76037EB7"/>
    <w:rsid w:val="760B7E8B"/>
    <w:rsid w:val="76B10E65"/>
    <w:rsid w:val="76D01A14"/>
    <w:rsid w:val="76E653E4"/>
    <w:rsid w:val="77730B47"/>
    <w:rsid w:val="77A3153F"/>
    <w:rsid w:val="77B238DE"/>
    <w:rsid w:val="77E17612"/>
    <w:rsid w:val="77F85EB7"/>
    <w:rsid w:val="786372CE"/>
    <w:rsid w:val="78697573"/>
    <w:rsid w:val="78D003F8"/>
    <w:rsid w:val="79522E9F"/>
    <w:rsid w:val="79BF4A66"/>
    <w:rsid w:val="79EA6FF3"/>
    <w:rsid w:val="79FF6F80"/>
    <w:rsid w:val="7A104A82"/>
    <w:rsid w:val="7A350790"/>
    <w:rsid w:val="7A8D2380"/>
    <w:rsid w:val="7AC23E20"/>
    <w:rsid w:val="7AE456E6"/>
    <w:rsid w:val="7C015992"/>
    <w:rsid w:val="7CE92D02"/>
    <w:rsid w:val="7D893333"/>
    <w:rsid w:val="7DB36601"/>
    <w:rsid w:val="7E0278BC"/>
    <w:rsid w:val="7E144D2B"/>
    <w:rsid w:val="7E400A43"/>
    <w:rsid w:val="7E4159BB"/>
    <w:rsid w:val="7E6873EC"/>
    <w:rsid w:val="7ECB7D29"/>
    <w:rsid w:val="7ED70E56"/>
    <w:rsid w:val="7F202C72"/>
    <w:rsid w:val="7FA53D28"/>
    <w:rsid w:val="7FAF54D3"/>
    <w:rsid w:val="7FB37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link w:val="50"/>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1"/>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link w:val="52"/>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link w:val="53"/>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link w:val="54"/>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link w:val="55"/>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link w:val="56"/>
    <w:unhideWhenUsed/>
    <w:qFormat/>
    <w:uiPriority w:val="0"/>
    <w:pPr>
      <w:keepNext/>
      <w:keepLines/>
      <w:spacing w:before="240" w:after="64" w:line="320" w:lineRule="auto"/>
      <w:outlineLvl w:val="6"/>
    </w:pPr>
    <w:rPr>
      <w:b/>
      <w:bCs/>
      <w:szCs w:val="24"/>
    </w:rPr>
  </w:style>
  <w:style w:type="paragraph" w:styleId="9">
    <w:name w:val="heading 8"/>
    <w:basedOn w:val="1"/>
    <w:link w:val="57"/>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link w:val="58"/>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unhideWhenUsed/>
    <w:qFormat/>
    <w:uiPriority w:val="39"/>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3"/>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4"/>
    <w:unhideWhenUsed/>
    <w:qFormat/>
    <w:uiPriority w:val="0"/>
    <w:rPr>
      <w:rFonts w:ascii="Heiti SC Light" w:eastAsia="Heiti SC Light"/>
      <w:szCs w:val="24"/>
    </w:rPr>
  </w:style>
  <w:style w:type="paragraph" w:styleId="17">
    <w:name w:val="annotation text"/>
    <w:basedOn w:val="1"/>
    <w:link w:val="59"/>
    <w:unhideWhenUsed/>
    <w:qFormat/>
    <w:uiPriority w:val="99"/>
    <w:pPr>
      <w:spacing w:line="360" w:lineRule="auto"/>
      <w:ind w:firstLine="200" w:firstLineChars="200"/>
      <w:jc w:val="left"/>
    </w:pPr>
  </w:style>
  <w:style w:type="paragraph" w:styleId="18">
    <w:name w:val="Body Text"/>
    <w:basedOn w:val="1"/>
    <w:next w:val="19"/>
    <w:link w:val="61"/>
    <w:qFormat/>
    <w:uiPriority w:val="0"/>
    <w:pPr>
      <w:spacing w:after="120"/>
    </w:pPr>
    <w:rPr>
      <w:rFonts w:ascii="Times New Roman" w:hAnsi="Times New Roman" w:cs="Times New Roman"/>
      <w:szCs w:val="20"/>
    </w:rPr>
  </w:style>
  <w:style w:type="paragraph" w:styleId="19">
    <w:name w:val="Body Text 2"/>
    <w:basedOn w:val="1"/>
    <w:link w:val="73"/>
    <w:qFormat/>
    <w:uiPriority w:val="0"/>
    <w:pPr>
      <w:spacing w:after="120" w:line="480" w:lineRule="auto"/>
    </w:pPr>
    <w:rPr>
      <w:rFonts w:ascii="Times New Roman" w:hAnsi="Times New Roman" w:cs="Times New Roman"/>
      <w:szCs w:val="20"/>
    </w:rPr>
  </w:style>
  <w:style w:type="paragraph" w:styleId="20">
    <w:name w:val="Body Text Indent"/>
    <w:basedOn w:val="1"/>
    <w:link w:val="65"/>
    <w:qFormat/>
    <w:uiPriority w:val="99"/>
    <w:pPr>
      <w:spacing w:after="120"/>
      <w:ind w:left="420" w:leftChars="200"/>
    </w:pPr>
    <w:rPr>
      <w:rFonts w:ascii="Times New Roman" w:hAnsi="Times New Roman" w:cs="Times New Roman"/>
      <w:szCs w:val="24"/>
    </w:rPr>
  </w:style>
  <w:style w:type="paragraph" w:styleId="21">
    <w:name w:val="toc 5"/>
    <w:basedOn w:val="1"/>
    <w:unhideWhenUsed/>
    <w:qFormat/>
    <w:uiPriority w:val="39"/>
    <w:pPr>
      <w:ind w:left="960"/>
      <w:jc w:val="left"/>
    </w:pPr>
    <w:rPr>
      <w:sz w:val="18"/>
      <w:szCs w:val="18"/>
    </w:rPr>
  </w:style>
  <w:style w:type="paragraph" w:styleId="22">
    <w:name w:val="toc 3"/>
    <w:basedOn w:val="1"/>
    <w:unhideWhenUsed/>
    <w:qFormat/>
    <w:uiPriority w:val="39"/>
    <w:pPr>
      <w:ind w:left="480"/>
      <w:jc w:val="left"/>
    </w:pPr>
    <w:rPr>
      <w:i/>
      <w:sz w:val="22"/>
    </w:rPr>
  </w:style>
  <w:style w:type="paragraph" w:styleId="23">
    <w:name w:val="Plain Text"/>
    <w:basedOn w:val="1"/>
    <w:link w:val="66"/>
    <w:qFormat/>
    <w:uiPriority w:val="0"/>
    <w:pPr>
      <w:widowControl/>
      <w:adjustRightInd w:val="0"/>
      <w:snapToGrid w:val="0"/>
      <w:spacing w:line="360" w:lineRule="auto"/>
      <w:jc w:val="left"/>
    </w:pPr>
    <w:rPr>
      <w:rFonts w:ascii="宋体" w:hAnsi="Courier New"/>
      <w:szCs w:val="20"/>
    </w:rPr>
  </w:style>
  <w:style w:type="paragraph" w:styleId="24">
    <w:name w:val="toc 8"/>
    <w:basedOn w:val="1"/>
    <w:unhideWhenUsed/>
    <w:qFormat/>
    <w:uiPriority w:val="39"/>
    <w:pPr>
      <w:ind w:left="1680"/>
      <w:jc w:val="left"/>
    </w:pPr>
    <w:rPr>
      <w:sz w:val="18"/>
      <w:szCs w:val="18"/>
    </w:rPr>
  </w:style>
  <w:style w:type="paragraph" w:styleId="25">
    <w:name w:val="Date"/>
    <w:basedOn w:val="1"/>
    <w:link w:val="67"/>
    <w:unhideWhenUsed/>
    <w:qFormat/>
    <w:uiPriority w:val="0"/>
    <w:pPr>
      <w:ind w:left="100" w:leftChars="2500"/>
    </w:pPr>
  </w:style>
  <w:style w:type="paragraph" w:styleId="26">
    <w:name w:val="Body Text Indent 2"/>
    <w:basedOn w:val="1"/>
    <w:link w:val="68"/>
    <w:unhideWhenUsed/>
    <w:qFormat/>
    <w:uiPriority w:val="0"/>
    <w:pPr>
      <w:spacing w:after="120" w:line="480" w:lineRule="auto"/>
      <w:ind w:left="420" w:leftChars="200"/>
    </w:pPr>
    <w:rPr>
      <w:rFonts w:ascii="Calibri" w:hAnsi="Calibri"/>
    </w:rPr>
  </w:style>
  <w:style w:type="paragraph" w:styleId="27">
    <w:name w:val="Balloon Text"/>
    <w:basedOn w:val="1"/>
    <w:link w:val="69"/>
    <w:unhideWhenUsed/>
    <w:qFormat/>
    <w:uiPriority w:val="99"/>
    <w:rPr>
      <w:sz w:val="18"/>
      <w:szCs w:val="18"/>
    </w:rPr>
  </w:style>
  <w:style w:type="paragraph" w:styleId="28">
    <w:name w:val="footer"/>
    <w:basedOn w:val="1"/>
    <w:link w:val="70"/>
    <w:qFormat/>
    <w:uiPriority w:val="0"/>
    <w:pPr>
      <w:tabs>
        <w:tab w:val="center" w:pos="4153"/>
        <w:tab w:val="right" w:pos="8306"/>
      </w:tabs>
      <w:snapToGrid w:val="0"/>
      <w:jc w:val="left"/>
    </w:pPr>
    <w:rPr>
      <w:rFonts w:ascii="Times New Roman" w:hAnsi="Times New Roman" w:cs="Times New Roman"/>
      <w:sz w:val="18"/>
      <w:szCs w:val="20"/>
    </w:rPr>
  </w:style>
  <w:style w:type="paragraph" w:styleId="29">
    <w:name w:val="header"/>
    <w:basedOn w:val="1"/>
    <w:link w:val="7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30">
    <w:name w:val="toc 1"/>
    <w:basedOn w:val="1"/>
    <w:unhideWhenUsed/>
    <w:qFormat/>
    <w:uiPriority w:val="39"/>
    <w:pPr>
      <w:spacing w:before="120"/>
      <w:jc w:val="left"/>
    </w:pPr>
    <w:rPr>
      <w:b/>
      <w:caps/>
      <w:sz w:val="22"/>
    </w:rPr>
  </w:style>
  <w:style w:type="paragraph" w:styleId="31">
    <w:name w:val="toc 4"/>
    <w:basedOn w:val="1"/>
    <w:unhideWhenUsed/>
    <w:qFormat/>
    <w:uiPriority w:val="39"/>
    <w:pPr>
      <w:ind w:left="720"/>
      <w:jc w:val="left"/>
    </w:pPr>
    <w:rPr>
      <w:sz w:val="18"/>
      <w:szCs w:val="18"/>
    </w:rPr>
  </w:style>
  <w:style w:type="paragraph" w:styleId="32">
    <w:name w:val="toc 6"/>
    <w:basedOn w:val="1"/>
    <w:unhideWhenUsed/>
    <w:qFormat/>
    <w:uiPriority w:val="39"/>
    <w:pPr>
      <w:ind w:left="1200"/>
      <w:jc w:val="left"/>
    </w:pPr>
    <w:rPr>
      <w:sz w:val="18"/>
      <w:szCs w:val="18"/>
    </w:rPr>
  </w:style>
  <w:style w:type="paragraph" w:styleId="33">
    <w:name w:val="Body Text Indent 3"/>
    <w:basedOn w:val="1"/>
    <w:link w:val="72"/>
    <w:unhideWhenUsed/>
    <w:qFormat/>
    <w:uiPriority w:val="99"/>
    <w:pPr>
      <w:spacing w:after="120" w:line="360" w:lineRule="auto"/>
      <w:ind w:left="420" w:leftChars="200" w:firstLine="200" w:firstLineChars="200"/>
    </w:pPr>
    <w:rPr>
      <w:sz w:val="16"/>
      <w:szCs w:val="16"/>
    </w:rPr>
  </w:style>
  <w:style w:type="paragraph" w:styleId="34">
    <w:name w:val="table of figures"/>
    <w:basedOn w:val="1"/>
    <w:qFormat/>
    <w:uiPriority w:val="0"/>
    <w:pPr>
      <w:spacing w:line="360" w:lineRule="auto"/>
      <w:ind w:left="840" w:leftChars="200" w:hanging="420" w:hangingChars="200"/>
    </w:pPr>
    <w:rPr>
      <w:rFonts w:ascii="Times New Roman" w:hAnsi="Times New Roman" w:cs="Times New Roman"/>
      <w:szCs w:val="20"/>
    </w:rPr>
  </w:style>
  <w:style w:type="paragraph" w:styleId="35">
    <w:name w:val="toc 2"/>
    <w:basedOn w:val="1"/>
    <w:unhideWhenUsed/>
    <w:qFormat/>
    <w:uiPriority w:val="39"/>
    <w:pPr>
      <w:ind w:left="240"/>
      <w:jc w:val="left"/>
    </w:pPr>
    <w:rPr>
      <w:sz w:val="22"/>
    </w:rPr>
  </w:style>
  <w:style w:type="paragraph" w:styleId="36">
    <w:name w:val="toc 9"/>
    <w:basedOn w:val="1"/>
    <w:unhideWhenUsed/>
    <w:qFormat/>
    <w:uiPriority w:val="39"/>
    <w:pPr>
      <w:ind w:left="1920"/>
      <w:jc w:val="left"/>
    </w:pPr>
    <w:rPr>
      <w:sz w:val="18"/>
      <w:szCs w:val="18"/>
    </w:rPr>
  </w:style>
  <w:style w:type="paragraph" w:styleId="37">
    <w:name w:val="HTML Preformatted"/>
    <w:basedOn w:val="1"/>
    <w:link w:val="7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5"/>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qFormat/>
    <w:uiPriority w:val="0"/>
    <w:pPr>
      <w:jc w:val="center"/>
    </w:pPr>
    <w:rPr>
      <w:rFonts w:ascii="仿宋_GB2312" w:hAnsi="Times New Roman" w:eastAsia="仿宋_GB2312" w:cs="Times New Roman"/>
      <w:b/>
      <w:bCs/>
      <w:sz w:val="28"/>
      <w:szCs w:val="20"/>
    </w:rPr>
  </w:style>
  <w:style w:type="paragraph" w:styleId="40">
    <w:name w:val="annotation subject"/>
    <w:basedOn w:val="17"/>
    <w:link w:val="60"/>
    <w:unhideWhenUsed/>
    <w:qFormat/>
    <w:uiPriority w:val="99"/>
    <w:rPr>
      <w:b/>
      <w:bCs/>
    </w:rPr>
  </w:style>
  <w:style w:type="paragraph" w:styleId="41">
    <w:name w:val="Body Text First Indent"/>
    <w:basedOn w:val="18"/>
    <w:next w:val="1"/>
    <w:link w:val="62"/>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Emphasis"/>
    <w:basedOn w:val="44"/>
    <w:qFormat/>
    <w:uiPriority w:val="20"/>
    <w:rPr>
      <w:color w:val="F73131"/>
    </w:rPr>
  </w:style>
  <w:style w:type="character" w:styleId="48">
    <w:name w:val="Hyperlink"/>
    <w:basedOn w:val="44"/>
    <w:unhideWhenUsed/>
    <w:qFormat/>
    <w:uiPriority w:val="99"/>
    <w:rPr>
      <w:color w:val="0000FF" w:themeColor="hyperlink"/>
      <w:u w:val="single"/>
    </w:rPr>
  </w:style>
  <w:style w:type="character" w:styleId="49">
    <w:name w:val="annotation reference"/>
    <w:basedOn w:val="44"/>
    <w:unhideWhenUsed/>
    <w:qFormat/>
    <w:uiPriority w:val="99"/>
    <w:rPr>
      <w:sz w:val="21"/>
      <w:szCs w:val="21"/>
    </w:rPr>
  </w:style>
  <w:style w:type="character" w:customStyle="1" w:styleId="50">
    <w:name w:val="标题 1 字符"/>
    <w:basedOn w:val="44"/>
    <w:link w:val="2"/>
    <w:qFormat/>
    <w:uiPriority w:val="0"/>
    <w:rPr>
      <w:rFonts w:asciiTheme="minorHAnsi" w:hAnsiTheme="minorHAnsi" w:cstheme="minorBidi"/>
      <w:b/>
      <w:bCs/>
      <w:kern w:val="44"/>
      <w:sz w:val="44"/>
      <w:szCs w:val="44"/>
    </w:rPr>
  </w:style>
  <w:style w:type="character" w:customStyle="1" w:styleId="51">
    <w:name w:val="标题 2 字符"/>
    <w:basedOn w:val="44"/>
    <w:link w:val="3"/>
    <w:qFormat/>
    <w:uiPriority w:val="0"/>
    <w:rPr>
      <w:rFonts w:asciiTheme="majorHAnsi" w:hAnsiTheme="majorHAnsi" w:eastAsiaTheme="majorEastAsia" w:cstheme="majorBidi"/>
      <w:b/>
      <w:bCs/>
      <w:kern w:val="2"/>
      <w:sz w:val="32"/>
      <w:szCs w:val="32"/>
    </w:rPr>
  </w:style>
  <w:style w:type="character" w:customStyle="1" w:styleId="52">
    <w:name w:val="标题 3 字符"/>
    <w:basedOn w:val="44"/>
    <w:link w:val="4"/>
    <w:qFormat/>
    <w:uiPriority w:val="0"/>
    <w:rPr>
      <w:rFonts w:eastAsia="宋体"/>
      <w:b/>
      <w:bCs/>
      <w:kern w:val="2"/>
      <w:sz w:val="32"/>
      <w:szCs w:val="32"/>
    </w:rPr>
  </w:style>
  <w:style w:type="character" w:customStyle="1" w:styleId="53">
    <w:name w:val="标题 4 字符"/>
    <w:basedOn w:val="44"/>
    <w:link w:val="5"/>
    <w:qFormat/>
    <w:uiPriority w:val="0"/>
    <w:rPr>
      <w:rFonts w:asciiTheme="majorHAnsi" w:hAnsiTheme="majorHAnsi" w:eastAsiaTheme="majorEastAsia" w:cstheme="majorBidi"/>
      <w:b/>
      <w:bCs/>
      <w:kern w:val="2"/>
      <w:sz w:val="28"/>
      <w:szCs w:val="28"/>
    </w:rPr>
  </w:style>
  <w:style w:type="character" w:customStyle="1" w:styleId="54">
    <w:name w:val="标题 5 字符"/>
    <w:basedOn w:val="44"/>
    <w:link w:val="6"/>
    <w:qFormat/>
    <w:uiPriority w:val="9"/>
    <w:rPr>
      <w:rFonts w:eastAsia="宋体"/>
      <w:b/>
      <w:bCs/>
      <w:kern w:val="2"/>
      <w:sz w:val="28"/>
      <w:szCs w:val="28"/>
    </w:rPr>
  </w:style>
  <w:style w:type="character" w:customStyle="1" w:styleId="55">
    <w:name w:val="标题 6 字符"/>
    <w:basedOn w:val="44"/>
    <w:link w:val="7"/>
    <w:qFormat/>
    <w:uiPriority w:val="0"/>
    <w:rPr>
      <w:rFonts w:asciiTheme="majorHAnsi" w:hAnsiTheme="majorHAnsi" w:eastAsiaTheme="majorEastAsia" w:cstheme="majorBidi"/>
      <w:b/>
      <w:bCs/>
      <w:kern w:val="2"/>
      <w:sz w:val="24"/>
      <w:szCs w:val="24"/>
    </w:rPr>
  </w:style>
  <w:style w:type="character" w:customStyle="1" w:styleId="56">
    <w:name w:val="标题 7 字符"/>
    <w:basedOn w:val="44"/>
    <w:link w:val="8"/>
    <w:qFormat/>
    <w:uiPriority w:val="9"/>
    <w:rPr>
      <w:rFonts w:eastAsia="宋体"/>
      <w:b/>
      <w:bCs/>
      <w:kern w:val="2"/>
      <w:sz w:val="24"/>
      <w:szCs w:val="24"/>
    </w:rPr>
  </w:style>
  <w:style w:type="character" w:customStyle="1" w:styleId="57">
    <w:name w:val="标题 8 字符"/>
    <w:basedOn w:val="44"/>
    <w:link w:val="9"/>
    <w:qFormat/>
    <w:uiPriority w:val="9"/>
    <w:rPr>
      <w:rFonts w:asciiTheme="majorHAnsi" w:hAnsiTheme="majorHAnsi" w:eastAsiaTheme="majorEastAsia" w:cstheme="majorBidi"/>
      <w:kern w:val="2"/>
      <w:sz w:val="24"/>
      <w:szCs w:val="24"/>
    </w:rPr>
  </w:style>
  <w:style w:type="character" w:customStyle="1" w:styleId="58">
    <w:name w:val="标题 9 字符"/>
    <w:basedOn w:val="44"/>
    <w:link w:val="10"/>
    <w:qFormat/>
    <w:uiPriority w:val="0"/>
    <w:rPr>
      <w:rFonts w:asciiTheme="majorHAnsi" w:hAnsiTheme="majorHAnsi" w:eastAsiaTheme="majorEastAsia" w:cstheme="majorBidi"/>
      <w:kern w:val="2"/>
      <w:sz w:val="24"/>
      <w:szCs w:val="21"/>
    </w:rPr>
  </w:style>
  <w:style w:type="character" w:customStyle="1" w:styleId="59">
    <w:name w:val="批注文字 字符"/>
    <w:basedOn w:val="44"/>
    <w:link w:val="17"/>
    <w:qFormat/>
    <w:uiPriority w:val="99"/>
    <w:rPr>
      <w:sz w:val="24"/>
    </w:rPr>
  </w:style>
  <w:style w:type="character" w:customStyle="1" w:styleId="60">
    <w:name w:val="批注主题 字符"/>
    <w:basedOn w:val="59"/>
    <w:link w:val="40"/>
    <w:qFormat/>
    <w:uiPriority w:val="99"/>
    <w:rPr>
      <w:b/>
      <w:bCs/>
      <w:sz w:val="24"/>
    </w:rPr>
  </w:style>
  <w:style w:type="character" w:customStyle="1" w:styleId="61">
    <w:name w:val="正文文本 字符"/>
    <w:basedOn w:val="44"/>
    <w:link w:val="18"/>
    <w:qFormat/>
    <w:uiPriority w:val="99"/>
    <w:rPr>
      <w:rFonts w:ascii="Times New Roman" w:hAnsi="Times New Roman" w:eastAsia="宋体" w:cs="Times New Roman"/>
      <w:szCs w:val="20"/>
    </w:rPr>
  </w:style>
  <w:style w:type="character" w:customStyle="1" w:styleId="62">
    <w:name w:val="正文文本首行缩进 字符"/>
    <w:basedOn w:val="61"/>
    <w:link w:val="41"/>
    <w:semiHidden/>
    <w:qFormat/>
    <w:uiPriority w:val="99"/>
    <w:rPr>
      <w:rFonts w:ascii="Times New Roman" w:hAnsi="Times New Roman" w:eastAsia="宋体" w:cs="Times New Roman"/>
      <w:kern w:val="2"/>
      <w:sz w:val="24"/>
      <w:szCs w:val="22"/>
    </w:rPr>
  </w:style>
  <w:style w:type="character" w:customStyle="1" w:styleId="63">
    <w:name w:val="正文缩进 字符"/>
    <w:link w:val="13"/>
    <w:qFormat/>
    <w:uiPriority w:val="0"/>
    <w:rPr>
      <w:rFonts w:ascii="Times New Roman" w:hAnsi="Times New Roman" w:eastAsia="方正细黑一简体" w:cs="Times New Roman"/>
      <w:szCs w:val="24"/>
      <w:lang w:val="zh-CN" w:eastAsia="zh-CN"/>
    </w:rPr>
  </w:style>
  <w:style w:type="character" w:customStyle="1" w:styleId="64">
    <w:name w:val="文档结构图 字符"/>
    <w:basedOn w:val="44"/>
    <w:link w:val="16"/>
    <w:qFormat/>
    <w:uiPriority w:val="0"/>
    <w:rPr>
      <w:rFonts w:ascii="Heiti SC Light" w:eastAsia="Heiti SC Light"/>
      <w:sz w:val="24"/>
      <w:szCs w:val="24"/>
    </w:rPr>
  </w:style>
  <w:style w:type="character" w:customStyle="1" w:styleId="65">
    <w:name w:val="正文文本缩进 字符"/>
    <w:basedOn w:val="44"/>
    <w:link w:val="20"/>
    <w:qFormat/>
    <w:uiPriority w:val="99"/>
    <w:rPr>
      <w:rFonts w:ascii="Times New Roman" w:hAnsi="Times New Roman" w:eastAsia="宋体" w:cs="Times New Roman"/>
      <w:szCs w:val="24"/>
    </w:rPr>
  </w:style>
  <w:style w:type="character" w:customStyle="1" w:styleId="66">
    <w:name w:val="纯文本 字符"/>
    <w:link w:val="23"/>
    <w:qFormat/>
    <w:uiPriority w:val="0"/>
    <w:rPr>
      <w:rFonts w:ascii="宋体" w:hAnsi="Courier New" w:eastAsia="宋体"/>
      <w:szCs w:val="20"/>
    </w:rPr>
  </w:style>
  <w:style w:type="character" w:customStyle="1" w:styleId="67">
    <w:name w:val="日期 字符"/>
    <w:basedOn w:val="44"/>
    <w:link w:val="25"/>
    <w:qFormat/>
    <w:uiPriority w:val="0"/>
  </w:style>
  <w:style w:type="character" w:customStyle="1" w:styleId="68">
    <w:name w:val="正文文本缩进 2 字符"/>
    <w:link w:val="26"/>
    <w:qFormat/>
    <w:uiPriority w:val="0"/>
    <w:rPr>
      <w:rFonts w:ascii="Calibri" w:hAnsi="Calibri"/>
    </w:rPr>
  </w:style>
  <w:style w:type="character" w:customStyle="1" w:styleId="69">
    <w:name w:val="批注框文本 字符"/>
    <w:basedOn w:val="44"/>
    <w:link w:val="27"/>
    <w:qFormat/>
    <w:uiPriority w:val="99"/>
    <w:rPr>
      <w:sz w:val="18"/>
      <w:szCs w:val="18"/>
    </w:rPr>
  </w:style>
  <w:style w:type="character" w:customStyle="1" w:styleId="70">
    <w:name w:val="页脚 字符"/>
    <w:basedOn w:val="44"/>
    <w:link w:val="28"/>
    <w:qFormat/>
    <w:uiPriority w:val="99"/>
    <w:rPr>
      <w:rFonts w:ascii="Times New Roman" w:hAnsi="Times New Roman" w:eastAsia="宋体" w:cs="Times New Roman"/>
      <w:sz w:val="18"/>
      <w:szCs w:val="20"/>
    </w:rPr>
  </w:style>
  <w:style w:type="character" w:customStyle="1" w:styleId="71">
    <w:name w:val="页眉 字符"/>
    <w:basedOn w:val="44"/>
    <w:link w:val="29"/>
    <w:qFormat/>
    <w:uiPriority w:val="99"/>
    <w:rPr>
      <w:rFonts w:ascii="Times New Roman" w:hAnsi="Times New Roman" w:eastAsia="宋体" w:cs="Times New Roman"/>
      <w:sz w:val="18"/>
      <w:szCs w:val="20"/>
    </w:rPr>
  </w:style>
  <w:style w:type="character" w:customStyle="1" w:styleId="72">
    <w:name w:val="正文文本缩进 3 字符"/>
    <w:basedOn w:val="44"/>
    <w:link w:val="33"/>
    <w:semiHidden/>
    <w:qFormat/>
    <w:uiPriority w:val="99"/>
    <w:rPr>
      <w:sz w:val="16"/>
      <w:szCs w:val="16"/>
    </w:rPr>
  </w:style>
  <w:style w:type="character" w:customStyle="1" w:styleId="73">
    <w:name w:val="正文文本 2 字符"/>
    <w:basedOn w:val="44"/>
    <w:link w:val="19"/>
    <w:qFormat/>
    <w:uiPriority w:val="0"/>
    <w:rPr>
      <w:rFonts w:ascii="Times New Roman" w:hAnsi="Times New Roman" w:eastAsia="宋体" w:cs="Times New Roman"/>
      <w:szCs w:val="20"/>
    </w:rPr>
  </w:style>
  <w:style w:type="character" w:customStyle="1" w:styleId="74">
    <w:name w:val="HTML 预设格式 字符"/>
    <w:basedOn w:val="44"/>
    <w:link w:val="37"/>
    <w:semiHidden/>
    <w:qFormat/>
    <w:uiPriority w:val="99"/>
    <w:rPr>
      <w:rFonts w:ascii="宋体" w:hAnsi="宋体" w:eastAsia="宋体" w:cs="宋体"/>
      <w:kern w:val="0"/>
      <w:sz w:val="24"/>
      <w:szCs w:val="24"/>
    </w:rPr>
  </w:style>
  <w:style w:type="character" w:customStyle="1" w:styleId="75">
    <w:name w:val="普通(网站) 字符"/>
    <w:link w:val="38"/>
    <w:qFormat/>
    <w:uiPriority w:val="99"/>
    <w:rPr>
      <w:rFonts w:ascii="宋体" w:hAnsi="宋体" w:eastAsia="宋体" w:cs="Times New Roman"/>
      <w:kern w:val="0"/>
      <w:sz w:val="24"/>
      <w:szCs w:val="24"/>
    </w:rPr>
  </w:style>
  <w:style w:type="paragraph" w:customStyle="1" w:styleId="76">
    <w:name w:val="列出段落1"/>
    <w:basedOn w:val="1"/>
    <w:link w:val="77"/>
    <w:qFormat/>
    <w:uiPriority w:val="99"/>
    <w:pPr>
      <w:ind w:firstLine="420" w:firstLineChars="200"/>
    </w:pPr>
  </w:style>
  <w:style w:type="character" w:customStyle="1" w:styleId="77">
    <w:name w:val="列出段落字符"/>
    <w:link w:val="76"/>
    <w:qFormat/>
    <w:uiPriority w:val="99"/>
  </w:style>
  <w:style w:type="paragraph" w:customStyle="1" w:styleId="78">
    <w:name w:val="Char"/>
    <w:basedOn w:val="1"/>
    <w:qFormat/>
    <w:uiPriority w:val="0"/>
    <w:pPr>
      <w:tabs>
        <w:tab w:val="left" w:pos="360"/>
      </w:tabs>
    </w:pPr>
    <w:rPr>
      <w:rFonts w:ascii="Times New Roman" w:hAnsi="Times New Roman" w:cs="Times New Roman"/>
      <w:szCs w:val="24"/>
    </w:rPr>
  </w:style>
  <w:style w:type="paragraph" w:customStyle="1" w:styleId="79">
    <w:name w:val="规范正文"/>
    <w:basedOn w:val="1"/>
    <w:qFormat/>
    <w:uiPriority w:val="0"/>
    <w:pPr>
      <w:adjustRightInd w:val="0"/>
      <w:spacing w:line="360" w:lineRule="auto"/>
      <w:ind w:left="480"/>
    </w:pPr>
    <w:rPr>
      <w:rFonts w:ascii="Times New Roman" w:hAnsi="Times New Roman" w:cs="Times New Roman"/>
      <w:kern w:val="0"/>
      <w:szCs w:val="20"/>
    </w:rPr>
  </w:style>
  <w:style w:type="paragraph" w:customStyle="1" w:styleId="80">
    <w:name w:val="GW-正文"/>
    <w:basedOn w:val="1"/>
    <w:link w:val="81"/>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1">
    <w:name w:val="GW-正文 Char"/>
    <w:link w:val="80"/>
    <w:qFormat/>
    <w:uiPriority w:val="0"/>
    <w:rPr>
      <w:rFonts w:ascii="宋体" w:hAnsi="宋体" w:eastAsia="宋体" w:cs="Times New Roman"/>
      <w:color w:val="000000"/>
      <w:kern w:val="0"/>
      <w:sz w:val="24"/>
      <w:szCs w:val="28"/>
      <w:lang w:bidi="en-US"/>
    </w:rPr>
  </w:style>
  <w:style w:type="paragraph" w:customStyle="1" w:styleId="82">
    <w:name w:val="GW-标题1"/>
    <w:basedOn w:val="2"/>
    <w:link w:val="83"/>
    <w:qFormat/>
    <w:uiPriority w:val="0"/>
    <w:pPr>
      <w:keepNext w:val="0"/>
      <w:keepLines w:val="0"/>
      <w:widowControl/>
      <w:numPr>
        <w:ilvl w:val="0"/>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3">
    <w:name w:val="GW-标题1 Char"/>
    <w:link w:val="82"/>
    <w:qFormat/>
    <w:uiPriority w:val="0"/>
    <w:rPr>
      <w:rFonts w:ascii="Calibri" w:hAnsi="Calibri" w:eastAsia="宋体" w:cs="Times New Roman"/>
      <w:b/>
      <w:bCs/>
      <w:kern w:val="0"/>
      <w:sz w:val="48"/>
      <w:szCs w:val="28"/>
      <w:lang w:eastAsia="en-US" w:bidi="en-US"/>
    </w:rPr>
  </w:style>
  <w:style w:type="paragraph" w:customStyle="1" w:styleId="84">
    <w:name w:val="GW-标题2"/>
    <w:basedOn w:val="82"/>
    <w:link w:val="85"/>
    <w:qFormat/>
    <w:uiPriority w:val="0"/>
    <w:pPr>
      <w:keepNext/>
      <w:keepLines/>
      <w:widowControl w:val="0"/>
      <w:outlineLvl w:val="1"/>
    </w:pPr>
    <w:rPr>
      <w:rFonts w:ascii="宋体" w:hAnsi="宋体"/>
      <w:sz w:val="32"/>
    </w:rPr>
  </w:style>
  <w:style w:type="character" w:customStyle="1" w:styleId="85">
    <w:name w:val="GW-标题2 Char"/>
    <w:link w:val="84"/>
    <w:qFormat/>
    <w:uiPriority w:val="0"/>
    <w:rPr>
      <w:rFonts w:ascii="宋体" w:hAnsi="宋体" w:eastAsia="宋体" w:cs="Times New Roman"/>
      <w:b/>
      <w:bCs/>
      <w:kern w:val="0"/>
      <w:sz w:val="32"/>
      <w:szCs w:val="28"/>
      <w:lang w:eastAsia="en-US" w:bidi="en-US"/>
    </w:rPr>
  </w:style>
  <w:style w:type="paragraph" w:customStyle="1" w:styleId="86">
    <w:name w:val="GW-标题3"/>
    <w:basedOn w:val="4"/>
    <w:link w:val="87"/>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7">
    <w:name w:val="GW-标题3 Char"/>
    <w:link w:val="86"/>
    <w:qFormat/>
    <w:uiPriority w:val="0"/>
    <w:rPr>
      <w:rFonts w:ascii="仿宋_GB2312" w:hAnsi="Calibri" w:eastAsia="宋体" w:cs="Times New Roman"/>
      <w:b/>
      <w:bCs/>
      <w:kern w:val="0"/>
      <w:sz w:val="30"/>
      <w:szCs w:val="24"/>
      <w:lang w:eastAsia="en-US" w:bidi="en-US"/>
    </w:rPr>
  </w:style>
  <w:style w:type="paragraph" w:customStyle="1" w:styleId="88">
    <w:name w:val="GW-标题4"/>
    <w:basedOn w:val="86"/>
    <w:link w:val="89"/>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9">
    <w:name w:val="GW-标题4 Char"/>
    <w:link w:val="88"/>
    <w:qFormat/>
    <w:uiPriority w:val="0"/>
    <w:rPr>
      <w:rFonts w:ascii="微软雅黑" w:hAnsi="微软雅黑" w:eastAsia="微软雅黑" w:cs="Times New Roman"/>
      <w:kern w:val="0"/>
      <w:sz w:val="28"/>
      <w:szCs w:val="21"/>
      <w:lang w:bidi="en-US"/>
    </w:rPr>
  </w:style>
  <w:style w:type="paragraph" w:customStyle="1" w:styleId="90">
    <w:name w:val="GW-标题5"/>
    <w:basedOn w:val="88"/>
    <w:qFormat/>
    <w:uiPriority w:val="0"/>
    <w:pPr>
      <w:outlineLvl w:val="4"/>
    </w:pPr>
    <w:rPr>
      <w:bCs/>
    </w:rPr>
  </w:style>
  <w:style w:type="paragraph" w:customStyle="1" w:styleId="91">
    <w:name w:val="GW-标题6"/>
    <w:basedOn w:val="90"/>
    <w:qFormat/>
    <w:uiPriority w:val="0"/>
    <w:pPr>
      <w:snapToGrid w:val="0"/>
      <w:outlineLvl w:val="5"/>
    </w:pPr>
    <w:rPr>
      <w:bCs w:val="0"/>
      <w:sz w:val="24"/>
    </w:rPr>
  </w:style>
  <w:style w:type="paragraph" w:customStyle="1" w:styleId="92">
    <w:name w:val="GW-标题7"/>
    <w:basedOn w:val="91"/>
    <w:qFormat/>
    <w:uiPriority w:val="0"/>
    <w:pPr>
      <w:outlineLvl w:val="6"/>
    </w:pPr>
    <w:rPr>
      <w:i/>
    </w:rPr>
  </w:style>
  <w:style w:type="paragraph" w:customStyle="1" w:styleId="93">
    <w:name w:val="段落文字"/>
    <w:basedOn w:val="1"/>
    <w:link w:val="94"/>
    <w:qFormat/>
    <w:uiPriority w:val="0"/>
    <w:pPr>
      <w:spacing w:line="360" w:lineRule="auto"/>
      <w:ind w:firstLine="420" w:firstLineChars="200"/>
    </w:pPr>
    <w:rPr>
      <w:rFonts w:ascii="Times New Roman" w:hAnsi="Times New Roman" w:cs="宋体"/>
      <w:szCs w:val="20"/>
    </w:rPr>
  </w:style>
  <w:style w:type="character" w:customStyle="1" w:styleId="94">
    <w:name w:val="段落文字 Char1"/>
    <w:basedOn w:val="44"/>
    <w:link w:val="93"/>
    <w:qFormat/>
    <w:uiPriority w:val="0"/>
    <w:rPr>
      <w:rFonts w:ascii="Times New Roman" w:hAnsi="Times New Roman" w:eastAsia="宋体" w:cs="宋体"/>
      <w:szCs w:val="20"/>
    </w:rPr>
  </w:style>
  <w:style w:type="paragraph" w:customStyle="1" w:styleId="95">
    <w:name w:val="表格文字"/>
    <w:basedOn w:val="1"/>
    <w:link w:val="96"/>
    <w:qFormat/>
    <w:uiPriority w:val="0"/>
    <w:rPr>
      <w:rFonts w:ascii="Times New Roman" w:hAnsi="Times New Roman" w:cs="宋体"/>
      <w:szCs w:val="20"/>
    </w:rPr>
  </w:style>
  <w:style w:type="character" w:customStyle="1" w:styleId="96">
    <w:name w:val="表格文字 Char"/>
    <w:basedOn w:val="44"/>
    <w:link w:val="95"/>
    <w:qFormat/>
    <w:uiPriority w:val="0"/>
    <w:rPr>
      <w:rFonts w:ascii="Times New Roman" w:hAnsi="Times New Roman" w:eastAsia="宋体" w:cs="宋体"/>
      <w:szCs w:val="20"/>
    </w:rPr>
  </w:style>
  <w:style w:type="character" w:customStyle="1" w:styleId="97">
    <w:name w:val="纯文本 Char1"/>
    <w:basedOn w:val="44"/>
    <w:qFormat/>
    <w:uiPriority w:val="0"/>
    <w:rPr>
      <w:rFonts w:ascii="宋体" w:hAnsi="Courier New" w:eastAsia="宋体" w:cs="Courier New"/>
      <w:szCs w:val="21"/>
    </w:rPr>
  </w:style>
  <w:style w:type="paragraph" w:customStyle="1" w:styleId="98">
    <w:name w:val="p0"/>
    <w:basedOn w:val="1"/>
    <w:qFormat/>
    <w:uiPriority w:val="0"/>
    <w:pPr>
      <w:widowControl/>
    </w:pPr>
    <w:rPr>
      <w:rFonts w:ascii="Times New Roman" w:hAnsi="Times New Roman" w:cs="Times New Roman"/>
      <w:kern w:val="0"/>
      <w:szCs w:val="21"/>
    </w:rPr>
  </w:style>
  <w:style w:type="paragraph" w:customStyle="1" w:styleId="99">
    <w:name w:val="文章正文"/>
    <w:basedOn w:val="1"/>
    <w:link w:val="100"/>
    <w:qFormat/>
    <w:uiPriority w:val="0"/>
    <w:pPr>
      <w:spacing w:line="360" w:lineRule="auto"/>
      <w:ind w:firstLine="200" w:firstLineChars="200"/>
    </w:pPr>
    <w:rPr>
      <w:rFonts w:ascii="Times New Roman" w:hAnsi="Times New Roman" w:cs="Times New Roman"/>
      <w:kern w:val="0"/>
      <w:szCs w:val="24"/>
    </w:rPr>
  </w:style>
  <w:style w:type="character" w:customStyle="1" w:styleId="100">
    <w:name w:val="文章正文 Char"/>
    <w:link w:val="99"/>
    <w:qFormat/>
    <w:uiPriority w:val="0"/>
    <w:rPr>
      <w:rFonts w:ascii="Times New Roman" w:hAnsi="Times New Roman" w:eastAsia="宋体" w:cs="Times New Roman"/>
      <w:kern w:val="0"/>
      <w:sz w:val="24"/>
      <w:szCs w:val="24"/>
    </w:rPr>
  </w:style>
  <w:style w:type="paragraph" w:customStyle="1" w:styleId="101">
    <w:name w:val="列表123"/>
    <w:basedOn w:val="1"/>
    <w:link w:val="102"/>
    <w:qFormat/>
    <w:uiPriority w:val="0"/>
    <w:pPr>
      <w:spacing w:beforeLines="30" w:afterLines="30" w:line="360" w:lineRule="auto"/>
      <w:jc w:val="left"/>
    </w:pPr>
    <w:rPr>
      <w:rFonts w:ascii="Times New Roman" w:hAnsi="Times New Roman" w:cs="Times New Roman"/>
      <w:szCs w:val="24"/>
    </w:rPr>
  </w:style>
  <w:style w:type="character" w:customStyle="1" w:styleId="102">
    <w:name w:val="列表123 Char"/>
    <w:link w:val="101"/>
    <w:qFormat/>
    <w:uiPriority w:val="0"/>
    <w:rPr>
      <w:rFonts w:ascii="Times New Roman" w:hAnsi="Times New Roman" w:eastAsia="宋体" w:cs="Times New Roman"/>
      <w:sz w:val="24"/>
      <w:szCs w:val="24"/>
    </w:rPr>
  </w:style>
  <w:style w:type="character" w:customStyle="1" w:styleId="103">
    <w:name w:val="GW-正文 Char Char"/>
    <w:qFormat/>
    <w:uiPriority w:val="0"/>
    <w:rPr>
      <w:rFonts w:ascii="宋体" w:hAnsi="宋体"/>
      <w:sz w:val="24"/>
    </w:rPr>
  </w:style>
  <w:style w:type="paragraph" w:customStyle="1" w:styleId="104">
    <w:name w:val="自定义正文"/>
    <w:basedOn w:val="1"/>
    <w:link w:val="105"/>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5">
    <w:name w:val="自定义正文 Char Char"/>
    <w:link w:val="104"/>
    <w:qFormat/>
    <w:uiPriority w:val="0"/>
    <w:rPr>
      <w:rFonts w:ascii="Times New Roman" w:hAnsi="Times New Roman" w:eastAsia="方正细黑一简体" w:cs="Times New Roman"/>
      <w:sz w:val="24"/>
      <w:szCs w:val="24"/>
      <w:lang w:val="zh-CN" w:eastAsia="zh-CN"/>
    </w:rPr>
  </w:style>
  <w:style w:type="paragraph" w:customStyle="1" w:styleId="106">
    <w:name w:val="自定义表格文字"/>
    <w:basedOn w:val="104"/>
    <w:qFormat/>
    <w:uiPriority w:val="0"/>
    <w:pPr>
      <w:spacing w:before="60" w:afterLines="0" w:line="320" w:lineRule="exact"/>
      <w:ind w:firstLine="0" w:firstLineChars="0"/>
    </w:pPr>
    <w:rPr>
      <w:rFonts w:ascii="宋体" w:eastAsia="楷体_GB2312"/>
      <w:sz w:val="21"/>
    </w:rPr>
  </w:style>
  <w:style w:type="paragraph" w:customStyle="1" w:styleId="107">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8">
    <w:name w:val="z-正文"/>
    <w:basedOn w:val="1"/>
    <w:link w:val="109"/>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9">
    <w:name w:val="z-正文 Char"/>
    <w:link w:val="108"/>
    <w:qFormat/>
    <w:uiPriority w:val="0"/>
    <w:rPr>
      <w:rFonts w:ascii="Calibri" w:hAnsi="Calibri" w:eastAsia="宋体" w:cs="Times New Roman"/>
      <w:kern w:val="0"/>
      <w:sz w:val="22"/>
      <w:szCs w:val="20"/>
    </w:rPr>
  </w:style>
  <w:style w:type="paragraph" w:customStyle="1" w:styleId="110">
    <w:name w:val="GW-标题8"/>
    <w:basedOn w:val="92"/>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1">
    <w:name w:val="标准文本"/>
    <w:basedOn w:val="1"/>
    <w:link w:val="112"/>
    <w:qFormat/>
    <w:uiPriority w:val="0"/>
    <w:rPr>
      <w:rFonts w:ascii="Times New Roman" w:hAnsi="Times New Roman" w:cs="Times New Roman"/>
      <w:szCs w:val="20"/>
    </w:rPr>
  </w:style>
  <w:style w:type="character" w:customStyle="1" w:styleId="112">
    <w:name w:val="标准文本 Char Char"/>
    <w:link w:val="111"/>
    <w:unhideWhenUsed/>
    <w:qFormat/>
    <w:uiPriority w:val="0"/>
    <w:rPr>
      <w:rFonts w:ascii="Times New Roman" w:hAnsi="Times New Roman" w:eastAsia="宋体" w:cs="Times New Roman"/>
      <w:szCs w:val="20"/>
    </w:rPr>
  </w:style>
  <w:style w:type="paragraph" w:customStyle="1" w:styleId="113">
    <w:name w:val="123123123"/>
    <w:basedOn w:val="1"/>
    <w:link w:val="114"/>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4">
    <w:name w:val="123123123 Char"/>
    <w:link w:val="113"/>
    <w:qFormat/>
    <w:uiPriority w:val="0"/>
    <w:rPr>
      <w:rFonts w:ascii="宋体" w:hAnsi="宋体" w:eastAsia="方正细黑一简体" w:cs="Times New Roman"/>
      <w:sz w:val="24"/>
      <w:szCs w:val="24"/>
    </w:rPr>
  </w:style>
  <w:style w:type="character" w:customStyle="1" w:styleId="115">
    <w:name w:val="图名 Char Char"/>
    <w:link w:val="116"/>
    <w:qFormat/>
    <w:uiPriority w:val="0"/>
    <w:rPr>
      <w:rFonts w:ascii="Times New Roman" w:hAnsi="Times New Roman" w:cs="宋体"/>
      <w:b/>
      <w:sz w:val="24"/>
      <w:szCs w:val="24"/>
    </w:rPr>
  </w:style>
  <w:style w:type="paragraph" w:customStyle="1" w:styleId="116">
    <w:name w:val="图名"/>
    <w:basedOn w:val="1"/>
    <w:link w:val="115"/>
    <w:qFormat/>
    <w:uiPriority w:val="0"/>
    <w:pPr>
      <w:spacing w:beforeLines="100" w:line="360" w:lineRule="auto"/>
      <w:jc w:val="center"/>
    </w:pPr>
    <w:rPr>
      <w:rFonts w:ascii="Times New Roman" w:hAnsi="Times New Roman" w:cs="宋体"/>
      <w:b/>
      <w:szCs w:val="24"/>
    </w:rPr>
  </w:style>
  <w:style w:type="paragraph" w:customStyle="1" w:styleId="117">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8">
    <w:name w:val="列出段落11"/>
    <w:basedOn w:val="1"/>
    <w:qFormat/>
    <w:uiPriority w:val="0"/>
    <w:pPr>
      <w:spacing w:line="360" w:lineRule="auto"/>
      <w:ind w:firstLine="420"/>
    </w:pPr>
    <w:rPr>
      <w:rFonts w:ascii="Calibri" w:hAnsi="Calibri" w:cs="黑体"/>
    </w:rPr>
  </w:style>
  <w:style w:type="paragraph" w:customStyle="1" w:styleId="119">
    <w:name w:val="正文o"/>
    <w:basedOn w:val="108"/>
    <w:link w:val="120"/>
    <w:qFormat/>
    <w:uiPriority w:val="0"/>
    <w:pPr>
      <w:spacing w:line="240" w:lineRule="atLeast"/>
      <w:ind w:firstLine="0" w:firstLineChars="0"/>
    </w:pPr>
    <w:rPr>
      <w:rFonts w:ascii="微软雅黑" w:hAnsi="微软雅黑" w:eastAsia="微软雅黑"/>
      <w:sz w:val="21"/>
      <w:szCs w:val="21"/>
    </w:rPr>
  </w:style>
  <w:style w:type="character" w:customStyle="1" w:styleId="120">
    <w:name w:val="正文o Char"/>
    <w:link w:val="119"/>
    <w:qFormat/>
    <w:uiPriority w:val="0"/>
    <w:rPr>
      <w:rFonts w:ascii="微软雅黑" w:hAnsi="微软雅黑" w:eastAsia="微软雅黑" w:cs="Times New Roman"/>
      <w:kern w:val="0"/>
      <w:szCs w:val="21"/>
    </w:rPr>
  </w:style>
  <w:style w:type="paragraph" w:customStyle="1" w:styleId="121">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2">
    <w:name w:val="标准文本 Char"/>
    <w:qFormat/>
    <w:uiPriority w:val="0"/>
    <w:rPr>
      <w:kern w:val="2"/>
      <w:sz w:val="24"/>
    </w:rPr>
  </w:style>
  <w:style w:type="paragraph" w:customStyle="1" w:styleId="123">
    <w:name w:val="列出段落2"/>
    <w:basedOn w:val="1"/>
    <w:qFormat/>
    <w:uiPriority w:val="0"/>
    <w:pPr>
      <w:ind w:firstLine="420" w:firstLineChars="200"/>
    </w:pPr>
    <w:rPr>
      <w:rFonts w:ascii="Calibri" w:hAnsi="Calibri" w:cs="Times New Roman"/>
    </w:rPr>
  </w:style>
  <w:style w:type="paragraph" w:customStyle="1" w:styleId="124">
    <w:name w:val="Char11"/>
    <w:basedOn w:val="1"/>
    <w:qFormat/>
    <w:uiPriority w:val="0"/>
    <w:pPr>
      <w:tabs>
        <w:tab w:val="left" w:pos="360"/>
      </w:tabs>
    </w:pPr>
    <w:rPr>
      <w:rFonts w:ascii="Times New Roman" w:hAnsi="Times New Roman" w:cs="Times New Roman"/>
      <w:szCs w:val="24"/>
    </w:rPr>
  </w:style>
  <w:style w:type="paragraph" w:customStyle="1" w:styleId="125">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6">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7">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8">
    <w:name w:val="注释级别 21"/>
    <w:basedOn w:val="1"/>
    <w:link w:val="129"/>
    <w:unhideWhenUsed/>
    <w:qFormat/>
    <w:uiPriority w:val="99"/>
    <w:pPr>
      <w:keepNext/>
      <w:numPr>
        <w:ilvl w:val="1"/>
        <w:numId w:val="3"/>
      </w:numPr>
      <w:contextualSpacing/>
      <w:outlineLvl w:val="1"/>
    </w:pPr>
    <w:rPr>
      <w:rFonts w:ascii="宋体"/>
    </w:rPr>
  </w:style>
  <w:style w:type="character" w:customStyle="1" w:styleId="129">
    <w:name w:val="注释级别 2字符"/>
    <w:link w:val="128"/>
    <w:qFormat/>
    <w:uiPriority w:val="99"/>
    <w:rPr>
      <w:rFonts w:ascii="宋体" w:eastAsia="宋体"/>
      <w:kern w:val="2"/>
      <w:sz w:val="24"/>
      <w:szCs w:val="22"/>
    </w:rPr>
  </w:style>
  <w:style w:type="paragraph" w:customStyle="1" w:styleId="130">
    <w:name w:val="普通正文"/>
    <w:basedOn w:val="1"/>
    <w:link w:val="131"/>
    <w:qFormat/>
    <w:uiPriority w:val="0"/>
    <w:pPr>
      <w:spacing w:line="440" w:lineRule="exact"/>
      <w:ind w:firstLine="200" w:firstLineChars="200"/>
    </w:pPr>
    <w:rPr>
      <w:rFonts w:ascii="仿宋_GB2312" w:hAnsi="Times New Roman" w:eastAsia="仿宋_GB2312" w:cs="宋体"/>
      <w:szCs w:val="20"/>
    </w:rPr>
  </w:style>
  <w:style w:type="character" w:customStyle="1" w:styleId="131">
    <w:name w:val="普通正文 Char"/>
    <w:link w:val="130"/>
    <w:qFormat/>
    <w:uiPriority w:val="0"/>
    <w:rPr>
      <w:rFonts w:ascii="仿宋_GB2312" w:hAnsi="Times New Roman" w:eastAsia="仿宋_GB2312" w:cs="宋体"/>
      <w:sz w:val="24"/>
      <w:szCs w:val="20"/>
    </w:rPr>
  </w:style>
  <w:style w:type="paragraph" w:customStyle="1" w:styleId="132">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3">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4">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5">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6">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7">
    <w:name w:val="标题 4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8">
    <w:name w:val="列出项目"/>
    <w:basedOn w:val="1"/>
    <w:qFormat/>
    <w:uiPriority w:val="0"/>
    <w:pPr>
      <w:numPr>
        <w:ilvl w:val="0"/>
        <w:numId w:val="6"/>
      </w:numPr>
      <w:spacing w:line="360" w:lineRule="auto"/>
    </w:pPr>
    <w:rPr>
      <w:rFonts w:ascii="宋体" w:hAnsi="宋体" w:cs="Times New Roman"/>
      <w:b/>
    </w:rPr>
  </w:style>
  <w:style w:type="character" w:customStyle="1" w:styleId="139">
    <w:name w:val="dash6b63_6587__char1"/>
    <w:qFormat/>
    <w:uiPriority w:val="0"/>
    <w:rPr>
      <w:rFonts w:ascii="Times New Roman" w:hAnsi="Times New Roman" w:eastAsia="仿宋_GB2312"/>
      <w:sz w:val="20"/>
      <w:u w:val="none"/>
      <w:lang w:val="en-US" w:eastAsia="zh-CN"/>
    </w:rPr>
  </w:style>
  <w:style w:type="character" w:customStyle="1" w:styleId="140">
    <w:name w:val="段正文 Char2"/>
    <w:link w:val="141"/>
    <w:qFormat/>
    <w:uiPriority w:val="0"/>
    <w:rPr>
      <w:rFonts w:ascii="Arial" w:hAnsi="Arial"/>
      <w:color w:val="000000"/>
    </w:rPr>
  </w:style>
  <w:style w:type="paragraph" w:customStyle="1" w:styleId="141">
    <w:name w:val="段正文"/>
    <w:basedOn w:val="1"/>
    <w:link w:val="140"/>
    <w:qFormat/>
    <w:uiPriority w:val="0"/>
    <w:pPr>
      <w:adjustRightInd w:val="0"/>
      <w:spacing w:line="360" w:lineRule="auto"/>
      <w:ind w:firstLine="538" w:firstLineChars="224"/>
    </w:pPr>
    <w:rPr>
      <w:rFonts w:ascii="Arial" w:hAnsi="Arial"/>
      <w:color w:val="000000"/>
    </w:rPr>
  </w:style>
  <w:style w:type="character" w:customStyle="1" w:styleId="142">
    <w:name w:val="正文（首行缩进两字）"/>
    <w:qFormat/>
    <w:uiPriority w:val="0"/>
    <w:rPr>
      <w:rFonts w:eastAsia="宋体"/>
      <w:kern w:val="2"/>
      <w:sz w:val="21"/>
      <w:szCs w:val="24"/>
      <w:lang w:val="en-US" w:eastAsia="zh-CN" w:bidi="ar-SA"/>
    </w:rPr>
  </w:style>
  <w:style w:type="character" w:customStyle="1" w:styleId="143">
    <w:name w:val="标题 2 Char1"/>
    <w:qFormat/>
    <w:uiPriority w:val="0"/>
    <w:rPr>
      <w:rFonts w:ascii="Arial" w:hAnsi="Arial" w:eastAsia="黑体" w:cs="Times New Roman"/>
      <w:b/>
      <w:bCs/>
      <w:sz w:val="32"/>
      <w:szCs w:val="32"/>
    </w:rPr>
  </w:style>
  <w:style w:type="character" w:customStyle="1" w:styleId="144">
    <w:name w:val="批注文字 Char1"/>
    <w:semiHidden/>
    <w:qFormat/>
    <w:uiPriority w:val="99"/>
    <w:rPr>
      <w:rFonts w:ascii="Times New Roman" w:hAnsi="Times New Roman" w:eastAsia="宋体" w:cs="Times New Roman"/>
      <w:szCs w:val="20"/>
    </w:rPr>
  </w:style>
  <w:style w:type="character" w:customStyle="1" w:styleId="145">
    <w:name w:val="列举 Char"/>
    <w:link w:val="146"/>
    <w:qFormat/>
    <w:uiPriority w:val="0"/>
    <w:rPr>
      <w:rFonts w:ascii="宋体" w:hAnsi="宋体"/>
      <w:sz w:val="24"/>
    </w:rPr>
  </w:style>
  <w:style w:type="paragraph" w:customStyle="1" w:styleId="146">
    <w:name w:val="列举"/>
    <w:basedOn w:val="1"/>
    <w:link w:val="145"/>
    <w:qFormat/>
    <w:uiPriority w:val="0"/>
    <w:pPr>
      <w:widowControl/>
      <w:spacing w:beforeLines="50" w:afterLines="50" w:line="360" w:lineRule="auto"/>
      <w:ind w:left="960" w:hanging="480"/>
      <w:jc w:val="left"/>
    </w:pPr>
    <w:rPr>
      <w:rFonts w:ascii="宋体" w:hAnsi="宋体"/>
    </w:rPr>
  </w:style>
  <w:style w:type="character" w:customStyle="1" w:styleId="147">
    <w:name w:val="正文文本缩进 Char1"/>
    <w:qFormat/>
    <w:uiPriority w:val="0"/>
    <w:rPr>
      <w:kern w:val="2"/>
      <w:sz w:val="32"/>
    </w:rPr>
  </w:style>
  <w:style w:type="character" w:customStyle="1" w:styleId="148">
    <w:name w:val="无间距字符"/>
    <w:link w:val="149"/>
    <w:qFormat/>
    <w:uiPriority w:val="1"/>
  </w:style>
  <w:style w:type="paragraph" w:customStyle="1" w:styleId="149">
    <w:name w:val="无间距1"/>
    <w:link w:val="148"/>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50">
    <w:name w:val="正文oo Char"/>
    <w:link w:val="151"/>
    <w:qFormat/>
    <w:uiPriority w:val="0"/>
    <w:rPr>
      <w:rFonts w:ascii="宋体" w:hAnsi="宋体" w:cs="宋体"/>
      <w:sz w:val="24"/>
      <w:szCs w:val="24"/>
    </w:rPr>
  </w:style>
  <w:style w:type="paragraph" w:customStyle="1" w:styleId="151">
    <w:name w:val="正文oo"/>
    <w:basedOn w:val="1"/>
    <w:link w:val="150"/>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2">
    <w:name w:val="GW-标题3 Char Char"/>
    <w:qFormat/>
    <w:uiPriority w:val="0"/>
    <w:rPr>
      <w:rFonts w:ascii="宋体" w:hAnsi="宋体"/>
      <w:b/>
      <w:bCs/>
      <w:kern w:val="2"/>
      <w:sz w:val="32"/>
      <w:szCs w:val="24"/>
    </w:rPr>
  </w:style>
  <w:style w:type="character" w:customStyle="1" w:styleId="153">
    <w:name w:val="自定义正文 Char"/>
    <w:qFormat/>
    <w:uiPriority w:val="0"/>
    <w:rPr>
      <w:rFonts w:ascii="仿宋_GB2312" w:eastAsia="仿宋_GB2312"/>
      <w:kern w:val="2"/>
      <w:sz w:val="24"/>
      <w:szCs w:val="24"/>
    </w:rPr>
  </w:style>
  <w:style w:type="paragraph" w:customStyle="1" w:styleId="154">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5">
    <w:name w:val="样式 GW-标题2 + 段前: 1 行 段后: 1 行"/>
    <w:basedOn w:val="84"/>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6">
    <w:name w:val="多级标题1"/>
    <w:basedOn w:val="2"/>
    <w:qFormat/>
    <w:uiPriority w:val="0"/>
    <w:pPr>
      <w:numPr>
        <w:ilvl w:val="0"/>
        <w:numId w:val="0"/>
      </w:numPr>
      <w:tabs>
        <w:tab w:val="left" w:pos="360"/>
      </w:tabs>
      <w:ind w:left="360" w:hanging="360" w:hangingChars="200"/>
    </w:pPr>
    <w:rPr>
      <w:rFonts w:ascii="Times New Roman" w:hAnsi="Times New Roman" w:cs="Times New Roman"/>
      <w:sz w:val="32"/>
      <w:szCs w:val="32"/>
    </w:rPr>
  </w:style>
  <w:style w:type="paragraph" w:customStyle="1" w:styleId="157">
    <w:name w:val="二级无"/>
    <w:basedOn w:val="1"/>
    <w:qFormat/>
    <w:uiPriority w:val="0"/>
    <w:pPr>
      <w:widowControl/>
      <w:tabs>
        <w:tab w:val="left" w:pos="420"/>
      </w:tabs>
      <w:jc w:val="left"/>
      <w:outlineLvl w:val="3"/>
    </w:pPr>
    <w:rPr>
      <w:rFonts w:ascii="宋体" w:hAnsi="Calibri" w:cs="黑体"/>
      <w:szCs w:val="21"/>
    </w:rPr>
  </w:style>
  <w:style w:type="paragraph" w:customStyle="1" w:styleId="158">
    <w:name w:val="B_项目符号"/>
    <w:basedOn w:val="1"/>
    <w:qFormat/>
    <w:uiPriority w:val="0"/>
    <w:pPr>
      <w:widowControl/>
      <w:overflowPunct w:val="0"/>
      <w:autoSpaceDE w:val="0"/>
      <w:autoSpaceDN w:val="0"/>
      <w:adjustRightInd w:val="0"/>
      <w:ind w:left="840" w:firstLine="200" w:firstLineChars="200"/>
    </w:pPr>
    <w:rPr>
      <w:rFonts w:ascii="宋体" w:hAnsi="Times New Roman" w:cs="Times New Roman"/>
      <w:kern w:val="0"/>
      <w:szCs w:val="20"/>
    </w:rPr>
  </w:style>
  <w:style w:type="paragraph" w:customStyle="1" w:styleId="159">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60">
    <w:name w:val="正文文本缩进 2 Char1"/>
    <w:basedOn w:val="44"/>
    <w:semiHidden/>
    <w:qFormat/>
    <w:uiPriority w:val="99"/>
  </w:style>
  <w:style w:type="paragraph" w:customStyle="1" w:styleId="161">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2">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3">
    <w:name w:val="样式 标题 2 + 首行缩进:  0.5 字符"/>
    <w:basedOn w:val="3"/>
    <w:qFormat/>
    <w:uiPriority w:val="0"/>
    <w:rPr>
      <w:rFonts w:ascii="Times New Roman" w:hAnsi="Times New Roman" w:eastAsia="宋体" w:cs="宋体"/>
      <w:sz w:val="30"/>
      <w:szCs w:val="20"/>
    </w:rPr>
  </w:style>
  <w:style w:type="paragraph" w:customStyle="1" w:styleId="164">
    <w:name w:val="多级标题3"/>
    <w:basedOn w:val="4"/>
    <w:qFormat/>
    <w:uiPriority w:val="0"/>
    <w:pPr>
      <w:numPr>
        <w:ilvl w:val="0"/>
        <w:numId w:val="7"/>
      </w:numPr>
      <w:tabs>
        <w:tab w:val="left" w:pos="1861"/>
      </w:tabs>
    </w:pPr>
    <w:rPr>
      <w:rFonts w:ascii="Times New Roman" w:hAnsi="Times New Roman" w:cs="Times New Roman"/>
      <w:b w:val="0"/>
      <w:sz w:val="24"/>
    </w:rPr>
  </w:style>
  <w:style w:type="paragraph" w:customStyle="1" w:styleId="165">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6">
    <w:name w:val="附图标题"/>
    <w:basedOn w:val="1"/>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7">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8">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9">
    <w:name w:val="A8操作手册正文"/>
    <w:basedOn w:val="1"/>
    <w:qFormat/>
    <w:uiPriority w:val="0"/>
    <w:pPr>
      <w:spacing w:line="360" w:lineRule="auto"/>
      <w:ind w:firstLine="420" w:firstLineChars="200"/>
    </w:pPr>
    <w:rPr>
      <w:rFonts w:ascii="Verdana" w:hAnsi="Verdana" w:cs="宋体"/>
      <w:szCs w:val="20"/>
    </w:rPr>
  </w:style>
  <w:style w:type="paragraph" w:customStyle="1" w:styleId="170">
    <w:name w:val="TOC 标题1"/>
    <w:basedOn w:val="2"/>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1">
    <w:name w:val="表格"/>
    <w:basedOn w:val="1"/>
    <w:qFormat/>
    <w:uiPriority w:val="0"/>
    <w:pPr>
      <w:spacing w:line="400" w:lineRule="exact"/>
    </w:pPr>
    <w:rPr>
      <w:rFonts w:ascii="Times New Roman" w:hAnsi="Times New Roman" w:cs="Times New Roman"/>
      <w:szCs w:val="24"/>
    </w:rPr>
  </w:style>
  <w:style w:type="paragraph" w:customStyle="1" w:styleId="172">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3">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4">
    <w:name w:val="多级标题2"/>
    <w:basedOn w:val="3"/>
    <w:qFormat/>
    <w:uiPriority w:val="0"/>
    <w:pPr>
      <w:numPr>
        <w:ilvl w:val="0"/>
        <w:numId w:val="7"/>
      </w:numPr>
      <w:tabs>
        <w:tab w:val="left" w:pos="1441"/>
      </w:tabs>
    </w:pPr>
    <w:rPr>
      <w:rFonts w:ascii="Cambria" w:hAnsi="Cambria" w:eastAsia="宋体" w:cs="Times New Roman"/>
      <w:sz w:val="30"/>
    </w:rPr>
  </w:style>
  <w:style w:type="paragraph" w:customStyle="1" w:styleId="175">
    <w:name w:val="段落标题"/>
    <w:basedOn w:val="1"/>
    <w:qFormat/>
    <w:uiPriority w:val="0"/>
    <w:pPr>
      <w:spacing w:line="360" w:lineRule="auto"/>
      <w:ind w:left="1440" w:hanging="420"/>
      <w:jc w:val="left"/>
    </w:pPr>
    <w:rPr>
      <w:rFonts w:ascii="宋体" w:hAnsi="宋体" w:cs="Times New Roman"/>
      <w:b/>
    </w:rPr>
  </w:style>
  <w:style w:type="paragraph" w:customStyle="1" w:styleId="176">
    <w:name w:val="Char1"/>
    <w:basedOn w:val="1"/>
    <w:qFormat/>
    <w:uiPriority w:val="0"/>
    <w:rPr>
      <w:rFonts w:ascii="Times New Roman" w:hAnsi="Times New Roman" w:cs="Times New Roman"/>
      <w:szCs w:val="21"/>
    </w:rPr>
  </w:style>
  <w:style w:type="paragraph" w:customStyle="1" w:styleId="177">
    <w:name w:val="多级标题4"/>
    <w:basedOn w:val="5"/>
    <w:qFormat/>
    <w:uiPriority w:val="0"/>
    <w:pPr>
      <w:numPr>
        <w:ilvl w:val="0"/>
        <w:numId w:val="7"/>
      </w:numPr>
    </w:pPr>
    <w:rPr>
      <w:rFonts w:ascii="Cambria" w:hAnsi="Cambria" w:eastAsia="宋体" w:cs="Times New Roman"/>
      <w:b w:val="0"/>
    </w:rPr>
  </w:style>
  <w:style w:type="paragraph" w:customStyle="1" w:styleId="178">
    <w:name w:val="多级标题5"/>
    <w:basedOn w:val="6"/>
    <w:qFormat/>
    <w:uiPriority w:val="0"/>
    <w:pPr>
      <w:numPr>
        <w:ilvl w:val="0"/>
        <w:numId w:val="0"/>
      </w:numPr>
      <w:ind w:left="360" w:hanging="360" w:hangingChars="200"/>
    </w:pPr>
    <w:rPr>
      <w:rFonts w:ascii="Times New Roman" w:hAnsi="Times New Roman" w:cs="Times New Roman"/>
      <w:b w:val="0"/>
      <w:sz w:val="24"/>
    </w:rPr>
  </w:style>
  <w:style w:type="paragraph" w:customStyle="1" w:styleId="179">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80">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1">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2">
    <w:name w:val="123123123 Char Char"/>
    <w:qFormat/>
    <w:uiPriority w:val="0"/>
    <w:rPr>
      <w:rFonts w:ascii="宋体" w:hAnsi="宋体"/>
      <w:sz w:val="24"/>
    </w:rPr>
  </w:style>
  <w:style w:type="character" w:customStyle="1" w:styleId="183">
    <w:name w:val="纯文本字符1"/>
    <w:basedOn w:val="44"/>
    <w:semiHidden/>
    <w:qFormat/>
    <w:uiPriority w:val="99"/>
    <w:rPr>
      <w:rFonts w:ascii="宋体" w:hAnsi="Courier" w:eastAsia="宋体" w:cs="Times New Roman"/>
      <w:sz w:val="24"/>
      <w:szCs w:val="24"/>
    </w:rPr>
  </w:style>
  <w:style w:type="paragraph" w:customStyle="1" w:styleId="184">
    <w:name w:val="列出段落3"/>
    <w:basedOn w:val="1"/>
    <w:qFormat/>
    <w:uiPriority w:val="0"/>
    <w:pPr>
      <w:spacing w:line="360" w:lineRule="auto"/>
      <w:ind w:firstLine="420" w:firstLineChars="200"/>
    </w:pPr>
    <w:rPr>
      <w:rFonts w:ascii="Calibri" w:hAnsi="Calibri" w:cs="Times New Roman"/>
    </w:rPr>
  </w:style>
  <w:style w:type="paragraph" w:customStyle="1" w:styleId="185">
    <w:name w:val="修订版本号1"/>
    <w:semiHidden/>
    <w:qFormat/>
    <w:uiPriority w:val="99"/>
    <w:rPr>
      <w:rFonts w:asciiTheme="minorHAnsi" w:hAnsiTheme="minorHAnsi" w:eastAsiaTheme="minorEastAsia" w:cstheme="minorBidi"/>
      <w:kern w:val="2"/>
      <w:sz w:val="21"/>
      <w:szCs w:val="22"/>
      <w:lang w:val="en-US" w:eastAsia="zh-CN" w:bidi="ar-SA"/>
    </w:rPr>
  </w:style>
  <w:style w:type="paragraph" w:customStyle="1" w:styleId="186">
    <w:name w:val="Char Char Char Char Char Char Char1 Char"/>
    <w:basedOn w:val="1"/>
    <w:qFormat/>
    <w:uiPriority w:val="0"/>
    <w:rPr>
      <w:rFonts w:ascii="Tahoma" w:hAnsi="Tahoma" w:cs="Times New Roman"/>
      <w:szCs w:val="20"/>
    </w:rPr>
  </w:style>
  <w:style w:type="paragraph" w:customStyle="1" w:styleId="187">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8">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9">
    <w:name w:val="p17"/>
    <w:basedOn w:val="1"/>
    <w:qFormat/>
    <w:uiPriority w:val="99"/>
    <w:pPr>
      <w:widowControl/>
    </w:pPr>
    <w:rPr>
      <w:rFonts w:ascii="Calibri" w:hAnsi="Calibri" w:cs="Times New Roman"/>
      <w:color w:val="000000"/>
      <w:kern w:val="0"/>
      <w:sz w:val="21"/>
      <w:szCs w:val="21"/>
    </w:rPr>
  </w:style>
  <w:style w:type="paragraph" w:customStyle="1" w:styleId="190">
    <w:name w:val="列出段落4"/>
    <w:basedOn w:val="1"/>
    <w:unhideWhenUsed/>
    <w:qFormat/>
    <w:uiPriority w:val="99"/>
    <w:pPr>
      <w:ind w:firstLine="420" w:firstLineChars="200"/>
    </w:pPr>
  </w:style>
  <w:style w:type="paragraph" w:customStyle="1" w:styleId="191">
    <w:name w:val="列出段落5"/>
    <w:basedOn w:val="1"/>
    <w:unhideWhenUsed/>
    <w:qFormat/>
    <w:uiPriority w:val="99"/>
    <w:pPr>
      <w:ind w:firstLine="420" w:firstLineChars="200"/>
    </w:pPr>
  </w:style>
  <w:style w:type="paragraph" w:customStyle="1" w:styleId="192">
    <w:name w:val="列出段落6"/>
    <w:basedOn w:val="1"/>
    <w:unhideWhenUsed/>
    <w:qFormat/>
    <w:uiPriority w:val="99"/>
    <w:pPr>
      <w:ind w:firstLine="420" w:firstLineChars="200"/>
    </w:pPr>
  </w:style>
  <w:style w:type="paragraph" w:customStyle="1" w:styleId="193">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4">
    <w:name w:val="TOC 标题2"/>
    <w:basedOn w:val="2"/>
    <w:unhideWhenUsed/>
    <w:qFormat/>
    <w:uiPriority w:val="39"/>
    <w:pPr>
      <w:widowControl/>
      <w:numPr>
        <w:ilvl w:val="0"/>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95">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6">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7">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8">
    <w:name w:val="列出段落7"/>
    <w:basedOn w:val="1"/>
    <w:unhideWhenUsed/>
    <w:qFormat/>
    <w:uiPriority w:val="99"/>
    <w:pPr>
      <w:ind w:firstLine="420" w:firstLineChars="200"/>
    </w:pPr>
  </w:style>
  <w:style w:type="character" w:customStyle="1" w:styleId="199">
    <w:name w:val="font51"/>
    <w:basedOn w:val="44"/>
    <w:qFormat/>
    <w:uiPriority w:val="0"/>
    <w:rPr>
      <w:rFonts w:hint="eastAsia" w:ascii="宋体" w:hAnsi="宋体" w:eastAsia="宋体" w:cs="宋体"/>
      <w:b/>
      <w:color w:val="000000"/>
      <w:sz w:val="21"/>
      <w:szCs w:val="21"/>
      <w:u w:val="none"/>
    </w:rPr>
  </w:style>
  <w:style w:type="character" w:customStyle="1" w:styleId="200">
    <w:name w:val="font31"/>
    <w:basedOn w:val="44"/>
    <w:qFormat/>
    <w:uiPriority w:val="0"/>
    <w:rPr>
      <w:rFonts w:hint="eastAsia" w:ascii="宋体" w:hAnsi="宋体" w:eastAsia="宋体" w:cs="宋体"/>
      <w:color w:val="000000"/>
      <w:sz w:val="20"/>
      <w:szCs w:val="20"/>
      <w:u w:val="none"/>
    </w:rPr>
  </w:style>
  <w:style w:type="character" w:customStyle="1" w:styleId="201">
    <w:name w:val="font41"/>
    <w:basedOn w:val="44"/>
    <w:qFormat/>
    <w:uiPriority w:val="0"/>
    <w:rPr>
      <w:rFonts w:hint="default" w:ascii="Times New Roman" w:hAnsi="Times New Roman" w:cs="Times New Roman"/>
      <w:color w:val="000000"/>
      <w:sz w:val="20"/>
      <w:szCs w:val="20"/>
      <w:u w:val="none"/>
    </w:rPr>
  </w:style>
  <w:style w:type="paragraph" w:styleId="202">
    <w:name w:val="List Paragraph"/>
    <w:basedOn w:val="1"/>
    <w:unhideWhenUsed/>
    <w:qFormat/>
    <w:uiPriority w:val="99"/>
    <w:pPr>
      <w:ind w:firstLine="420" w:firstLineChars="200"/>
    </w:pPr>
  </w:style>
  <w:style w:type="character" w:customStyle="1" w:styleId="203">
    <w:name w:val="无 A"/>
    <w:qFormat/>
    <w:uiPriority w:val="0"/>
  </w:style>
  <w:style w:type="character" w:customStyle="1" w:styleId="204">
    <w:name w:val="font81"/>
    <w:basedOn w:val="44"/>
    <w:qFormat/>
    <w:uiPriority w:val="0"/>
    <w:rPr>
      <w:rFonts w:ascii="Arial" w:hAnsi="Arial" w:cs="Arial"/>
      <w:color w:val="000000"/>
      <w:sz w:val="20"/>
      <w:szCs w:val="20"/>
      <w:u w:val="none"/>
    </w:rPr>
  </w:style>
  <w:style w:type="character" w:customStyle="1" w:styleId="205">
    <w:name w:val="font01"/>
    <w:basedOn w:val="44"/>
    <w:qFormat/>
    <w:uiPriority w:val="0"/>
    <w:rPr>
      <w:rFonts w:hint="eastAsia" w:ascii="宋体" w:hAnsi="宋体" w:eastAsia="宋体" w:cs="宋体"/>
      <w:color w:val="000000"/>
      <w:sz w:val="20"/>
      <w:szCs w:val="20"/>
      <w:u w:val="none"/>
    </w:rPr>
  </w:style>
  <w:style w:type="paragraph" w:customStyle="1" w:styleId="206">
    <w:name w:val="文一"/>
    <w:basedOn w:val="1"/>
    <w:qFormat/>
    <w:uiPriority w:val="0"/>
    <w:pPr>
      <w:topLinePunct/>
      <w:adjustRightInd w:val="0"/>
      <w:snapToGrid w:val="0"/>
      <w:spacing w:line="360" w:lineRule="auto"/>
      <w:ind w:firstLine="200" w:firstLineChars="200"/>
    </w:pPr>
    <w:rPr>
      <w:rFonts w:ascii="Times New Roman" w:hAnsi="Times New Roman" w:cs="Times New Roman"/>
      <w:spacing w:val="4"/>
      <w:kern w:val="0"/>
      <w:szCs w:val="24"/>
    </w:rPr>
  </w:style>
  <w:style w:type="paragraph" w:customStyle="1" w:styleId="207">
    <w:name w:val="sbg"/>
    <w:basedOn w:val="1"/>
    <w:qFormat/>
    <w:uiPriority w:val="0"/>
    <w:pPr>
      <w:jc w:val="center"/>
    </w:pPr>
    <w:rPr>
      <w:rFonts w:ascii="宋体" w:hAnsi="宋体" w:cs="宋体"/>
      <w:b/>
      <w:bCs/>
      <w:kern w:val="0"/>
      <w:szCs w:val="18"/>
    </w:rPr>
  </w:style>
  <w:style w:type="character" w:customStyle="1" w:styleId="208">
    <w:name w:val="fontstyle01"/>
    <w:basedOn w:val="44"/>
    <w:qFormat/>
    <w:uiPriority w:val="0"/>
    <w:rPr>
      <w:rFonts w:hint="default" w:ascii="仿宋" w:hAnsi="仿宋"/>
      <w:color w:val="000000"/>
      <w:sz w:val="36"/>
      <w:szCs w:val="3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39</Pages>
  <Words>8965</Words>
  <Characters>9854</Characters>
  <Lines>110</Lines>
  <Paragraphs>31</Paragraphs>
  <TotalTime>8</TotalTime>
  <ScaleCrop>false</ScaleCrop>
  <LinksUpToDate>false</LinksUpToDate>
  <CharactersWithSpaces>10028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2018-11-28T12:19:00Z</dcterms:created>
  <dc:creator>微软用户</dc:creator>
  <cp:lastModifiedBy>Smile</cp:lastModifiedBy>
  <cp:lastPrinted>2025-10-21T09:08:00Z</cp:lastPrinted>
  <dcterms:modified xsi:type="dcterms:W3CDTF">2025-11-07T07:21:32Z</dcterms:modified>
  <cp:revision>400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5F78302DD2EB4C5B9758703B822FD7DB</vt:lpwstr>
  </property>
  <property fmtid="{D5CDD505-2E9C-101B-9397-08002B2CF9AE}" pid="4" name="KSOTemplateDocerSaveRecord">
    <vt:lpwstr>eyJoZGlkIjoiOGU3NDc0Mzk1M2NmYmE2ODEzOWIzODU3MDE0YjA1ODgiLCJ1c2VySWQiOiIxMDAzMjQ3NTA2In0=</vt:lpwstr>
  </property>
</Properties>
</file>